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29C1" w14:textId="77777777" w:rsidR="000A0437" w:rsidRPr="000A0437" w:rsidRDefault="000A0437" w:rsidP="000A0437">
      <w:pPr>
        <w:keepNext/>
        <w:shd w:val="clear" w:color="auto" w:fill="F2F2F2"/>
        <w:spacing w:before="240" w:after="240" w:line="276" w:lineRule="auto"/>
        <w:jc w:val="right"/>
        <w:outlineLvl w:val="2"/>
        <w:rPr>
          <w:rFonts w:ascii="Calibri" w:eastAsia="Times New Roman" w:hAnsi="Calibri" w:cs="Calibri"/>
          <w:b/>
          <w:bCs/>
          <w:smallCaps/>
          <w:spacing w:val="5"/>
          <w:kern w:val="0"/>
          <w:sz w:val="26"/>
          <w:szCs w:val="26"/>
          <w:u w:val="single"/>
          <w14:ligatures w14:val="none"/>
        </w:rPr>
      </w:pPr>
      <w:bookmarkStart w:id="0" w:name="_Toc203026079"/>
      <w:r w:rsidRPr="000A0437">
        <w:rPr>
          <w:rFonts w:ascii="Calibri" w:eastAsia="Times New Roman" w:hAnsi="Calibri" w:cs="Calibri"/>
          <w:b/>
          <w:bCs/>
          <w:smallCaps/>
          <w:spacing w:val="5"/>
          <w:kern w:val="0"/>
          <w:sz w:val="26"/>
          <w:szCs w:val="26"/>
          <w:u w:val="single"/>
          <w14:ligatures w14:val="none"/>
        </w:rPr>
        <w:t>Załącznik nr 2A do SIWZ</w:t>
      </w:r>
      <w:bookmarkEnd w:id="0"/>
    </w:p>
    <w:p w14:paraId="6BC8888F" w14:textId="77777777" w:rsidR="000A0437" w:rsidRPr="000A0437" w:rsidRDefault="000A0437" w:rsidP="000A0437">
      <w:pPr>
        <w:keepNext/>
        <w:shd w:val="clear" w:color="auto" w:fill="F2F2F2"/>
        <w:spacing w:before="240" w:after="240" w:line="276" w:lineRule="auto"/>
        <w:jc w:val="center"/>
        <w:outlineLvl w:val="2"/>
        <w:rPr>
          <w:rFonts w:ascii="Calibri" w:eastAsia="Times New Roman" w:hAnsi="Calibri" w:cs="Calibri"/>
          <w:b/>
          <w:bCs/>
          <w:smallCaps/>
          <w:spacing w:val="5"/>
          <w:kern w:val="0"/>
          <w:sz w:val="26"/>
          <w:szCs w:val="26"/>
          <w:u w:val="single"/>
          <w14:ligatures w14:val="none"/>
        </w:rPr>
      </w:pPr>
      <w:bookmarkStart w:id="1" w:name="_Toc203026080"/>
      <w:r w:rsidRPr="000A0437">
        <w:rPr>
          <w:rFonts w:ascii="Calibri" w:eastAsia="Times New Roman" w:hAnsi="Calibri" w:cs="Calibri"/>
          <w:b/>
          <w:bCs/>
          <w:smallCaps/>
          <w:spacing w:val="5"/>
          <w:kern w:val="0"/>
          <w:sz w:val="26"/>
          <w:szCs w:val="26"/>
          <w:u w:val="single"/>
          <w14:ligatures w14:val="none"/>
        </w:rPr>
        <w:t>FORMULARZ OFERTOWY</w:t>
      </w:r>
      <w:bookmarkEnd w:id="1"/>
    </w:p>
    <w:p w14:paraId="072BBFAD" w14:textId="77777777" w:rsidR="000A0437" w:rsidRPr="000A0437" w:rsidRDefault="000A0437" w:rsidP="000A0437">
      <w:pPr>
        <w:tabs>
          <w:tab w:val="left" w:pos="2904"/>
        </w:tabs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b/>
          <w:bCs/>
          <w:i/>
          <w:iCs/>
          <w:kern w:val="0"/>
          <w:lang w:eastAsia="pl-PL"/>
          <w14:ligatures w14:val="none"/>
        </w:rPr>
        <w:t>P-045/25</w:t>
      </w:r>
    </w:p>
    <w:p w14:paraId="34650EB7" w14:textId="77777777" w:rsidR="000A0437" w:rsidRPr="000A0437" w:rsidRDefault="000A0437" w:rsidP="000A043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3F2452B" w14:textId="77777777" w:rsidR="000A0437" w:rsidRPr="000A0437" w:rsidRDefault="000A0437" w:rsidP="000A043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0544F6D" w14:textId="77777777" w:rsidR="000A0437" w:rsidRPr="000A0437" w:rsidRDefault="000A0437" w:rsidP="000A0437">
      <w:pPr>
        <w:spacing w:after="24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Składając ofertę w imieniu </w:t>
      </w:r>
      <w:r w:rsidRPr="000A0437">
        <w:rPr>
          <w:rFonts w:ascii="Calibri" w:eastAsia="Times New Roman" w:hAnsi="Calibri" w:cs="Calibri"/>
          <w:i/>
          <w:kern w:val="0"/>
          <w:lang w:eastAsia="pl-PL"/>
          <w14:ligatures w14:val="none"/>
        </w:rPr>
        <w:t>(w przypadku podmiotów występujących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A0437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wspólnie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A0437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wymienić wszystkich wykonawców składających ofertę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5D77C30A" w14:textId="77777777" w:rsidR="000A0437" w:rsidRPr="000A0437" w:rsidRDefault="000A0437" w:rsidP="000A0437">
      <w:pPr>
        <w:spacing w:after="6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Nazwa Wykonawcy ....................................................................................................................</w:t>
      </w:r>
    </w:p>
    <w:p w14:paraId="56824A8C" w14:textId="77777777" w:rsidR="000A0437" w:rsidRPr="000A0437" w:rsidRDefault="000A0437" w:rsidP="000A0437">
      <w:pPr>
        <w:spacing w:after="6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z siedzibą ...................................................................................................................................</w:t>
      </w:r>
    </w:p>
    <w:p w14:paraId="5F72B69F" w14:textId="77777777" w:rsidR="000A0437" w:rsidRPr="000A0437" w:rsidRDefault="000A0437" w:rsidP="000A0437">
      <w:pPr>
        <w:spacing w:after="6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NIP ……………………………………………, REGON: …………………………………………….</w:t>
      </w:r>
    </w:p>
    <w:p w14:paraId="4ED4E2D4" w14:textId="77777777" w:rsidR="000A0437" w:rsidRPr="000A0437" w:rsidRDefault="000A0437" w:rsidP="000A0437">
      <w:pPr>
        <w:spacing w:after="60" w:line="360" w:lineRule="auto"/>
        <w:rPr>
          <w:rFonts w:ascii="Calibri" w:eastAsia="Times New Roman" w:hAnsi="Calibri" w:cs="Calibri"/>
          <w:kern w:val="0"/>
          <w:lang w:val="en-US"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val="en-US" w:eastAsia="pl-PL"/>
          <w14:ligatures w14:val="none"/>
        </w:rPr>
        <w:t>Tel. ……………………………………………, faks: …………………………………………………</w:t>
      </w:r>
    </w:p>
    <w:p w14:paraId="486354E5" w14:textId="015F542F" w:rsidR="000A0437" w:rsidRPr="000A0437" w:rsidRDefault="000A0437" w:rsidP="000A0437">
      <w:pPr>
        <w:spacing w:after="60" w:line="360" w:lineRule="auto"/>
        <w:rPr>
          <w:rFonts w:ascii="Calibri" w:eastAsia="Times New Roman" w:hAnsi="Calibri" w:cs="Calibri"/>
          <w:kern w:val="0"/>
          <w:lang w:val="en-US"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val="en-US" w:eastAsia="pl-PL"/>
          <w14:ligatures w14:val="none"/>
        </w:rPr>
        <w:t>e-mail: …………………………………………………………………………………………………..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0A0437" w:rsidRPr="000A0437" w14:paraId="46628F92" w14:textId="77777777" w:rsidTr="00966EFA">
        <w:trPr>
          <w:tblHeader/>
        </w:trPr>
        <w:tc>
          <w:tcPr>
            <w:tcW w:w="9214" w:type="dxa"/>
          </w:tcPr>
          <w:p w14:paraId="25BCA478" w14:textId="77777777" w:rsidR="000A0437" w:rsidRPr="000A0437" w:rsidRDefault="000A0437" w:rsidP="000A0437">
            <w:pPr>
              <w:spacing w:after="0" w:line="312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A04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dla Spółki Mazowiecki Port Lotniczy Warszawa-Modlin Sp. z o.o.,</w:t>
            </w:r>
            <w:r w:rsidRPr="000A0437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 xml:space="preserve"> </w:t>
            </w:r>
            <w:r w:rsidRPr="000A04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 prowadzonym postępowaniu o udzielenie zamówienia na </w:t>
            </w:r>
            <w:r w:rsidRPr="000A0437">
              <w:rPr>
                <w:rFonts w:ascii="Calibri" w:eastAsia="Times New Roman" w:hAnsi="Calibri" w:cs="Calibri"/>
                <w:b/>
                <w:i/>
                <w:kern w:val="0"/>
                <w:lang w:eastAsia="pl-PL"/>
                <w14:ligatures w14:val="none"/>
              </w:rPr>
              <w:t xml:space="preserve">„Zakup przełączników dostępowych” </w:t>
            </w:r>
            <w:r w:rsidRPr="000A04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 trybie przetargu nieograniczonego, oferujemy wykonanie przedmiotu zamówienia w wymaganym terminie,</w:t>
            </w:r>
            <w:r w:rsidRPr="000A0437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 xml:space="preserve"> </w:t>
            </w:r>
            <w:r w:rsidRPr="000A04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zgodnie z warunkami SIWZ       (P-045/25):</w:t>
            </w:r>
          </w:p>
          <w:p w14:paraId="50FE49D0" w14:textId="77777777" w:rsidR="000A0437" w:rsidRPr="000A0437" w:rsidRDefault="000A0437" w:rsidP="000A0437">
            <w:pPr>
              <w:spacing w:after="0" w:line="312" w:lineRule="auto"/>
              <w:jc w:val="both"/>
              <w:rPr>
                <w:rFonts w:ascii="Calibri" w:eastAsia="Times New Roman" w:hAnsi="Calibri" w:cs="Calibri"/>
                <w:b/>
                <w:i/>
                <w:kern w:val="0"/>
                <w:lang w:eastAsia="pl-PL"/>
                <w14:ligatures w14:val="none"/>
              </w:rPr>
            </w:pPr>
          </w:p>
        </w:tc>
      </w:tr>
    </w:tbl>
    <w:p w14:paraId="4E2ABA2A" w14:textId="77777777" w:rsidR="000A0437" w:rsidRPr="000A0437" w:rsidRDefault="000A0437" w:rsidP="000A0437">
      <w:pPr>
        <w:spacing w:before="120" w:after="120" w:line="240" w:lineRule="auto"/>
        <w:jc w:val="both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0A0437">
        <w:rPr>
          <w:rFonts w:ascii="Calibri" w:eastAsia="Times New Roman" w:hAnsi="Calibri" w:cs="Calibri"/>
          <w:kern w:val="0"/>
          <w:lang w:val="de-DE"/>
          <w14:ligatures w14:val="none"/>
        </w:rPr>
        <w:t xml:space="preserve">za cenę ryczałtową w wysokości: </w:t>
      </w:r>
    </w:p>
    <w:p w14:paraId="5834CD33" w14:textId="77777777" w:rsidR="000A0437" w:rsidRPr="000A0437" w:rsidRDefault="000A0437" w:rsidP="000A0437">
      <w:pPr>
        <w:widowControl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b/>
          <w:kern w:val="0"/>
          <w:lang w:val="de-DE"/>
          <w14:ligatures w14:val="none"/>
        </w:rPr>
      </w:pPr>
      <w:r w:rsidRPr="000A0437">
        <w:rPr>
          <w:rFonts w:ascii="Calibri" w:eastAsia="Times New Roman" w:hAnsi="Calibri" w:cs="Calibri"/>
          <w:b/>
          <w:color w:val="000000"/>
          <w:kern w:val="0"/>
          <w:lang w:val="de-DE"/>
          <w14:ligatures w14:val="none"/>
        </w:rPr>
        <w:t>cena brutto</w:t>
      </w:r>
      <w:r w:rsidRPr="000A0437">
        <w:rPr>
          <w:rFonts w:ascii="Calibri" w:eastAsia="Times New Roman" w:hAnsi="Calibri" w:cs="Calibri"/>
          <w:kern w:val="0"/>
          <w:lang w:val="de-DE"/>
          <w14:ligatures w14:val="none"/>
        </w:rPr>
        <w:t>…...................................................... zł</w:t>
      </w:r>
    </w:p>
    <w:p w14:paraId="7CB10599" w14:textId="77777777" w:rsidR="000A0437" w:rsidRPr="000A0437" w:rsidRDefault="000A0437" w:rsidP="000A0437">
      <w:pPr>
        <w:widowControl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0A0437">
        <w:rPr>
          <w:rFonts w:ascii="Calibri" w:eastAsia="Times New Roman" w:hAnsi="Calibri" w:cs="Calibri"/>
          <w:kern w:val="0"/>
          <w:lang w:val="de-DE"/>
          <w14:ligatures w14:val="none"/>
        </w:rPr>
        <w:t>(słownie: ….............................................................................................................................)</w:t>
      </w:r>
    </w:p>
    <w:p w14:paraId="2E30CA40" w14:textId="77777777" w:rsidR="000A0437" w:rsidRPr="000A0437" w:rsidRDefault="000A0437" w:rsidP="000A0437">
      <w:pPr>
        <w:widowControl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0A0437">
        <w:rPr>
          <w:rFonts w:ascii="Calibri" w:eastAsia="Times New Roman" w:hAnsi="Calibri" w:cs="Calibri"/>
          <w:kern w:val="0"/>
          <w:lang w:val="de-DE"/>
          <w14:ligatures w14:val="none"/>
        </w:rPr>
        <w:t>VAT: ………………………….. zł</w:t>
      </w:r>
    </w:p>
    <w:p w14:paraId="20CBC2E8" w14:textId="77777777" w:rsidR="000A0437" w:rsidRPr="000A0437" w:rsidRDefault="000A0437" w:rsidP="000A0437">
      <w:pPr>
        <w:widowControl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kern w:val="0"/>
          <w:lang w:val="de-DE"/>
          <w14:ligatures w14:val="none"/>
        </w:rPr>
      </w:pPr>
      <w:r w:rsidRPr="000A0437">
        <w:rPr>
          <w:rFonts w:ascii="Calibri" w:eastAsia="Times New Roman" w:hAnsi="Calibri" w:cs="Calibri"/>
          <w:kern w:val="0"/>
          <w:lang w:val="de-DE"/>
          <w14:ligatures w14:val="none"/>
        </w:rPr>
        <w:t>netto: ………………………………….. zł</w:t>
      </w:r>
    </w:p>
    <w:tbl>
      <w:tblPr>
        <w:tblStyle w:val="Tabela-Siatka"/>
        <w:tblpPr w:leftFromText="141" w:rightFromText="141" w:vertAnchor="text" w:horzAnchor="page" w:tblpX="1400" w:tblpY="1"/>
        <w:tblW w:w="9494" w:type="dxa"/>
        <w:tblLook w:val="04A0" w:firstRow="1" w:lastRow="0" w:firstColumn="1" w:lastColumn="0" w:noHBand="0" w:noVBand="1"/>
      </w:tblPr>
      <w:tblGrid>
        <w:gridCol w:w="562"/>
        <w:gridCol w:w="2395"/>
        <w:gridCol w:w="707"/>
        <w:gridCol w:w="1364"/>
        <w:gridCol w:w="1352"/>
        <w:gridCol w:w="1276"/>
        <w:gridCol w:w="1838"/>
      </w:tblGrid>
      <w:tr w:rsidR="000A0437" w:rsidRPr="000A0437" w14:paraId="293F59C3" w14:textId="77777777" w:rsidTr="00966EFA">
        <w:trPr>
          <w:trHeight w:val="825"/>
        </w:trPr>
        <w:tc>
          <w:tcPr>
            <w:tcW w:w="562" w:type="dxa"/>
            <w:vAlign w:val="center"/>
          </w:tcPr>
          <w:p w14:paraId="440106F6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LP.</w:t>
            </w:r>
          </w:p>
        </w:tc>
        <w:tc>
          <w:tcPr>
            <w:tcW w:w="2395" w:type="dxa"/>
            <w:vAlign w:val="center"/>
          </w:tcPr>
          <w:p w14:paraId="7674EC8C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Przedmiot zamówienia</w:t>
            </w:r>
          </w:p>
        </w:tc>
        <w:tc>
          <w:tcPr>
            <w:tcW w:w="707" w:type="dxa"/>
            <w:vAlign w:val="center"/>
          </w:tcPr>
          <w:p w14:paraId="7EA3A740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Ilość [szt.]</w:t>
            </w:r>
          </w:p>
        </w:tc>
        <w:tc>
          <w:tcPr>
            <w:tcW w:w="1364" w:type="dxa"/>
            <w:vAlign w:val="center"/>
          </w:tcPr>
          <w:p w14:paraId="67542DC5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Cena jednostkowa netto (PLN)</w:t>
            </w:r>
          </w:p>
        </w:tc>
        <w:tc>
          <w:tcPr>
            <w:tcW w:w="1352" w:type="dxa"/>
            <w:vAlign w:val="center"/>
          </w:tcPr>
          <w:p w14:paraId="236CD195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Wartość netto (PLN)</w:t>
            </w:r>
          </w:p>
        </w:tc>
        <w:tc>
          <w:tcPr>
            <w:tcW w:w="1276" w:type="dxa"/>
            <w:vAlign w:val="center"/>
          </w:tcPr>
          <w:p w14:paraId="20B11400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Wartość VAT (PLN)</w:t>
            </w:r>
          </w:p>
        </w:tc>
        <w:tc>
          <w:tcPr>
            <w:tcW w:w="1838" w:type="dxa"/>
            <w:vAlign w:val="center"/>
          </w:tcPr>
          <w:p w14:paraId="445919CB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Wartość brutto (PLN)</w:t>
            </w:r>
          </w:p>
        </w:tc>
      </w:tr>
      <w:tr w:rsidR="000A0437" w:rsidRPr="000A0437" w14:paraId="1680628A" w14:textId="77777777" w:rsidTr="00966EFA">
        <w:trPr>
          <w:trHeight w:val="741"/>
        </w:trPr>
        <w:tc>
          <w:tcPr>
            <w:tcW w:w="562" w:type="dxa"/>
            <w:vAlign w:val="center"/>
          </w:tcPr>
          <w:p w14:paraId="7E635F95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1</w:t>
            </w:r>
          </w:p>
        </w:tc>
        <w:tc>
          <w:tcPr>
            <w:tcW w:w="2395" w:type="dxa"/>
            <w:vAlign w:val="center"/>
          </w:tcPr>
          <w:p w14:paraId="4556DDDA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 xml:space="preserve">Przełącznik dostępowy     </w:t>
            </w:r>
          </w:p>
          <w:p w14:paraId="3089BE73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 xml:space="preserve">24 portowy  </w:t>
            </w:r>
          </w:p>
        </w:tc>
        <w:tc>
          <w:tcPr>
            <w:tcW w:w="707" w:type="dxa"/>
            <w:vAlign w:val="center"/>
          </w:tcPr>
          <w:p w14:paraId="2F5C1BD8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20</w:t>
            </w:r>
          </w:p>
        </w:tc>
        <w:tc>
          <w:tcPr>
            <w:tcW w:w="1364" w:type="dxa"/>
          </w:tcPr>
          <w:p w14:paraId="7BA4EDAE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352" w:type="dxa"/>
          </w:tcPr>
          <w:p w14:paraId="013F1F9B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276" w:type="dxa"/>
          </w:tcPr>
          <w:p w14:paraId="6DAC264B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838" w:type="dxa"/>
          </w:tcPr>
          <w:p w14:paraId="0045F2CD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</w:tr>
      <w:tr w:rsidR="000A0437" w:rsidRPr="000A0437" w14:paraId="6F8CB462" w14:textId="77777777" w:rsidTr="00966EFA">
        <w:trPr>
          <w:trHeight w:val="695"/>
        </w:trPr>
        <w:tc>
          <w:tcPr>
            <w:tcW w:w="562" w:type="dxa"/>
            <w:vAlign w:val="center"/>
          </w:tcPr>
          <w:p w14:paraId="56510739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2</w:t>
            </w:r>
          </w:p>
        </w:tc>
        <w:tc>
          <w:tcPr>
            <w:tcW w:w="2395" w:type="dxa"/>
            <w:vAlign w:val="center"/>
          </w:tcPr>
          <w:p w14:paraId="7D8EFBAA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 xml:space="preserve">Przełącznik dostępowy     </w:t>
            </w:r>
          </w:p>
          <w:p w14:paraId="715992A1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 xml:space="preserve">48 portowy  </w:t>
            </w:r>
          </w:p>
        </w:tc>
        <w:tc>
          <w:tcPr>
            <w:tcW w:w="707" w:type="dxa"/>
            <w:vAlign w:val="center"/>
          </w:tcPr>
          <w:p w14:paraId="145B1DA8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20</w:t>
            </w:r>
          </w:p>
        </w:tc>
        <w:tc>
          <w:tcPr>
            <w:tcW w:w="1364" w:type="dxa"/>
          </w:tcPr>
          <w:p w14:paraId="068D708E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352" w:type="dxa"/>
          </w:tcPr>
          <w:p w14:paraId="7B23A5BD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276" w:type="dxa"/>
          </w:tcPr>
          <w:p w14:paraId="219A3FAB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838" w:type="dxa"/>
          </w:tcPr>
          <w:p w14:paraId="35894E46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</w:tr>
      <w:tr w:rsidR="000A0437" w:rsidRPr="000A0437" w14:paraId="41CDCF8C" w14:textId="77777777" w:rsidTr="00966EFA">
        <w:trPr>
          <w:trHeight w:val="695"/>
        </w:trPr>
        <w:tc>
          <w:tcPr>
            <w:tcW w:w="562" w:type="dxa"/>
            <w:vAlign w:val="center"/>
          </w:tcPr>
          <w:p w14:paraId="03F11575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3</w:t>
            </w:r>
          </w:p>
        </w:tc>
        <w:tc>
          <w:tcPr>
            <w:tcW w:w="2395" w:type="dxa"/>
            <w:vAlign w:val="center"/>
          </w:tcPr>
          <w:p w14:paraId="52D0D4BD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 xml:space="preserve">Wkładka BiDi SFP+ 10G SM (TX1330 RX1270) kompatybilna z ww. przełącznikami </w:t>
            </w:r>
          </w:p>
        </w:tc>
        <w:tc>
          <w:tcPr>
            <w:tcW w:w="707" w:type="dxa"/>
            <w:vAlign w:val="center"/>
          </w:tcPr>
          <w:p w14:paraId="307E2915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50</w:t>
            </w:r>
          </w:p>
        </w:tc>
        <w:tc>
          <w:tcPr>
            <w:tcW w:w="1364" w:type="dxa"/>
          </w:tcPr>
          <w:p w14:paraId="72FADCF9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352" w:type="dxa"/>
          </w:tcPr>
          <w:p w14:paraId="1CFC2E33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276" w:type="dxa"/>
          </w:tcPr>
          <w:p w14:paraId="11852A2E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838" w:type="dxa"/>
          </w:tcPr>
          <w:p w14:paraId="3CAFDD69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</w:tr>
      <w:tr w:rsidR="000A0437" w:rsidRPr="000A0437" w14:paraId="7383B6B4" w14:textId="77777777" w:rsidTr="00966EFA">
        <w:trPr>
          <w:trHeight w:val="695"/>
        </w:trPr>
        <w:tc>
          <w:tcPr>
            <w:tcW w:w="562" w:type="dxa"/>
            <w:vAlign w:val="center"/>
          </w:tcPr>
          <w:p w14:paraId="0FA015DD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lastRenderedPageBreak/>
              <w:t>4</w:t>
            </w:r>
          </w:p>
        </w:tc>
        <w:tc>
          <w:tcPr>
            <w:tcW w:w="2395" w:type="dxa"/>
            <w:vAlign w:val="center"/>
          </w:tcPr>
          <w:p w14:paraId="0B737743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276" w:lineRule="auto"/>
              <w:rPr>
                <w:rFonts w:cs="Calibri"/>
                <w:lang w:val="x-none"/>
              </w:rPr>
            </w:pPr>
            <w:r w:rsidRPr="000A0437">
              <w:rPr>
                <w:rFonts w:cs="Calibri"/>
                <w:lang w:val="x-none"/>
              </w:rPr>
              <w:t xml:space="preserve">Wkładka BiDi SFP+ 10G SM (TX1270 RX1330) kompatybilna z ww. przełącznikami </w:t>
            </w:r>
          </w:p>
        </w:tc>
        <w:tc>
          <w:tcPr>
            <w:tcW w:w="707" w:type="dxa"/>
            <w:vAlign w:val="center"/>
          </w:tcPr>
          <w:p w14:paraId="67B2ECC0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center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50</w:t>
            </w:r>
          </w:p>
        </w:tc>
        <w:tc>
          <w:tcPr>
            <w:tcW w:w="1364" w:type="dxa"/>
          </w:tcPr>
          <w:p w14:paraId="5631706B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352" w:type="dxa"/>
          </w:tcPr>
          <w:p w14:paraId="41B29D93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276" w:type="dxa"/>
          </w:tcPr>
          <w:p w14:paraId="7C53EF09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838" w:type="dxa"/>
          </w:tcPr>
          <w:p w14:paraId="3B0615EB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</w:tr>
      <w:tr w:rsidR="000A0437" w:rsidRPr="000A0437" w14:paraId="5A6BE7CA" w14:textId="77777777" w:rsidTr="00966EFA">
        <w:tc>
          <w:tcPr>
            <w:tcW w:w="5028" w:type="dxa"/>
            <w:gridSpan w:val="4"/>
            <w:vAlign w:val="bottom"/>
          </w:tcPr>
          <w:p w14:paraId="1F050B88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right"/>
              <w:rPr>
                <w:rFonts w:cs="Calibri"/>
                <w:lang w:val="de-DE"/>
              </w:rPr>
            </w:pPr>
            <w:r w:rsidRPr="000A0437">
              <w:rPr>
                <w:rFonts w:cs="Calibri"/>
                <w:lang w:val="de-DE"/>
              </w:rPr>
              <w:t>RAZEM</w:t>
            </w:r>
          </w:p>
        </w:tc>
        <w:tc>
          <w:tcPr>
            <w:tcW w:w="1352" w:type="dxa"/>
          </w:tcPr>
          <w:p w14:paraId="1F9828DD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276" w:type="dxa"/>
          </w:tcPr>
          <w:p w14:paraId="2B647290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  <w:tc>
          <w:tcPr>
            <w:tcW w:w="1838" w:type="dxa"/>
          </w:tcPr>
          <w:p w14:paraId="478BD4B4" w14:textId="77777777" w:rsidR="000A0437" w:rsidRPr="000A0437" w:rsidRDefault="000A0437" w:rsidP="000A0437">
            <w:pPr>
              <w:widowControl w:val="0"/>
              <w:autoSpaceDN w:val="0"/>
              <w:adjustRightInd w:val="0"/>
              <w:spacing w:line="480" w:lineRule="auto"/>
              <w:jc w:val="both"/>
              <w:rPr>
                <w:rFonts w:cs="Calibri"/>
                <w:lang w:val="de-DE"/>
              </w:rPr>
            </w:pPr>
          </w:p>
        </w:tc>
      </w:tr>
    </w:tbl>
    <w:p w14:paraId="78A80785" w14:textId="77777777" w:rsidR="000A0437" w:rsidRPr="000A0437" w:rsidRDefault="000A0437" w:rsidP="000A0437">
      <w:pPr>
        <w:spacing w:before="120" w:after="12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W cenę wliczyliśmy wszystkie niezbędne koszty związane z realizacją zamówienia, </w:t>
      </w:r>
      <w:r w:rsidRPr="000A0437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br/>
        <w:t>o których mowa w SIWZ, w tym m.in. koszt dostawy, uruchomienia, serwisu, itd.</w:t>
      </w:r>
    </w:p>
    <w:p w14:paraId="61358308" w14:textId="77777777" w:rsidR="000A0437" w:rsidRPr="000A0437" w:rsidRDefault="000A0437" w:rsidP="000A0437">
      <w:pPr>
        <w:tabs>
          <w:tab w:val="left" w:pos="-1134"/>
        </w:tabs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F0C4B6" w14:textId="77777777" w:rsidR="000A0437" w:rsidRPr="000A0437" w:rsidRDefault="000A0437" w:rsidP="000A0437">
      <w:pPr>
        <w:numPr>
          <w:ilvl w:val="0"/>
          <w:numId w:val="2"/>
        </w:numPr>
        <w:tabs>
          <w:tab w:val="left" w:pos="-1134"/>
        </w:tabs>
        <w:spacing w:after="0" w:line="276" w:lineRule="auto"/>
        <w:ind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Zapoznaliśmy się z warunkami uczestnictwa w postępowaniu i nie wnosimy do nich zastrzeżeń oraz otrzymaliśmy wszelkie niezbędne informacje do przygotowania oferty.</w:t>
      </w:r>
    </w:p>
    <w:p w14:paraId="1BB76F28" w14:textId="77777777" w:rsidR="000A0437" w:rsidRPr="000A0437" w:rsidRDefault="000A0437" w:rsidP="000A0437">
      <w:pPr>
        <w:numPr>
          <w:ilvl w:val="0"/>
          <w:numId w:val="2"/>
        </w:numPr>
        <w:tabs>
          <w:tab w:val="left" w:pos="-1134"/>
        </w:tabs>
        <w:spacing w:after="0" w:line="276" w:lineRule="auto"/>
        <w:ind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Zobowiązujemy się dostarczyć Zamawiającemu przedmiot zamówienia zgodny z wymaganiami określonymi w OPZ – na potwierdzenie załączamy</w:t>
      </w:r>
      <w:r w:rsidRPr="000A043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karty charakterystyki urządzeń, 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stanowiące załącznik do Oferty.</w:t>
      </w:r>
    </w:p>
    <w:p w14:paraId="673020BA" w14:textId="77777777" w:rsidR="000A0437" w:rsidRPr="000A0437" w:rsidRDefault="000A0437" w:rsidP="000A0437">
      <w:pPr>
        <w:numPr>
          <w:ilvl w:val="0"/>
          <w:numId w:val="2"/>
        </w:numPr>
        <w:spacing w:after="0" w:line="276" w:lineRule="auto"/>
        <w:ind w:hanging="284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bCs/>
          <w:iCs/>
          <w:kern w:val="0"/>
          <w:lang w:eastAsia="pl-PL"/>
          <w14:ligatures w14:val="none"/>
        </w:rPr>
        <w:t xml:space="preserve">Zobowiązujemy się do udzielenia Zamawiającemu </w:t>
      </w:r>
      <w:r w:rsidRPr="000A0437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>gwarancji</w:t>
      </w:r>
      <w:r w:rsidRPr="000A0437">
        <w:rPr>
          <w:rFonts w:ascii="Calibri" w:eastAsia="Times New Roman" w:hAnsi="Calibri" w:cs="Calibri"/>
          <w:bCs/>
          <w:iCs/>
          <w:kern w:val="0"/>
          <w:lang w:eastAsia="pl-PL"/>
          <w14:ligatures w14:val="none"/>
        </w:rPr>
        <w:t xml:space="preserve"> na przedmiot zamówienia </w:t>
      </w:r>
      <w:r w:rsidRPr="000A043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określonej w OPZ –</w:t>
      </w:r>
      <w:r w:rsidRPr="000A0437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>dokumenty gwarancji wystawione przez producenta sprzętu</w:t>
      </w:r>
      <w:r w:rsidRPr="000A043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oraz 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oświadczenie producenta wkładek dotyczące kompatybilności z zamawianymi przełącznikami </w:t>
      </w:r>
      <w:r w:rsidRPr="000A043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zostaną dostarczone wraz z dostawą urządzeń.</w:t>
      </w:r>
    </w:p>
    <w:p w14:paraId="3C647F8C" w14:textId="77777777" w:rsidR="000A0437" w:rsidRPr="000A0437" w:rsidRDefault="000A0437" w:rsidP="000A0437">
      <w:pPr>
        <w:numPr>
          <w:ilvl w:val="0"/>
          <w:numId w:val="2"/>
        </w:numPr>
        <w:tabs>
          <w:tab w:val="left" w:pos="-1134"/>
        </w:tabs>
        <w:spacing w:after="0" w:line="276" w:lineRule="auto"/>
        <w:ind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Przedmiot zamówienia zostanie przez nas zrealizowany w terminie określonym w SIWZ.</w:t>
      </w:r>
    </w:p>
    <w:p w14:paraId="767E00FD" w14:textId="77777777" w:rsidR="000A0437" w:rsidRPr="000A0437" w:rsidRDefault="000A0437" w:rsidP="000A0437">
      <w:pPr>
        <w:numPr>
          <w:ilvl w:val="0"/>
          <w:numId w:val="2"/>
        </w:numPr>
        <w:tabs>
          <w:tab w:val="left" w:pos="-1134"/>
        </w:tabs>
        <w:spacing w:after="0" w:line="276" w:lineRule="auto"/>
        <w:ind w:hanging="284"/>
        <w:jc w:val="both"/>
        <w:rPr>
          <w:rFonts w:ascii="Calibri" w:eastAsia="Calibri" w:hAnsi="Calibri" w:cs="Calibri"/>
          <w:kern w:val="0"/>
          <w:lang w:val="x-none"/>
          <w14:ligatures w14:val="none"/>
        </w:rPr>
      </w:pPr>
      <w:r w:rsidRPr="000A0437">
        <w:rPr>
          <w:rFonts w:ascii="Calibri" w:eastAsia="Calibri" w:hAnsi="Calibri" w:cs="Calibri"/>
          <w:kern w:val="0"/>
          <w:lang w:val="x-none"/>
          <w14:ligatures w14:val="none"/>
        </w:rPr>
        <w:t>Oświadczamy, iż zapoznaliśmy się z warunkami uczestnictwa w postępowaniu</w:t>
      </w:r>
      <w:r w:rsidRPr="000A0437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0A0437">
        <w:rPr>
          <w:rFonts w:ascii="Calibri" w:eastAsia="Calibri" w:hAnsi="Calibri" w:cs="Calibri"/>
          <w:kern w:val="0"/>
          <w:lang w:val="x-none"/>
          <w14:ligatures w14:val="none"/>
        </w:rPr>
        <w:t>i nie wnosimy do nich zastrzeżeń, oraz otrzymaliśmy wszelkie niezbędne informacje do przygotowania oferty.</w:t>
      </w:r>
    </w:p>
    <w:p w14:paraId="5AF8CFA9" w14:textId="77777777" w:rsidR="000A0437" w:rsidRPr="000A0437" w:rsidRDefault="000A0437" w:rsidP="000A0437">
      <w:pPr>
        <w:numPr>
          <w:ilvl w:val="0"/>
          <w:numId w:val="2"/>
        </w:numPr>
        <w:tabs>
          <w:tab w:val="left" w:pos="-1134"/>
        </w:tabs>
        <w:spacing w:after="0" w:line="276" w:lineRule="auto"/>
        <w:ind w:hanging="284"/>
        <w:jc w:val="both"/>
        <w:rPr>
          <w:rFonts w:ascii="Calibri" w:eastAsia="Calibri" w:hAnsi="Calibri" w:cs="Calibri"/>
          <w:kern w:val="0"/>
          <w:lang w:val="x-none"/>
          <w14:ligatures w14:val="none"/>
        </w:rPr>
      </w:pPr>
      <w:r w:rsidRPr="000A0437">
        <w:rPr>
          <w:rFonts w:ascii="Calibri" w:eastAsia="Calibri" w:hAnsi="Calibri" w:cs="Calibri"/>
          <w:kern w:val="0"/>
          <w:lang w:val="x-none"/>
          <w14:ligatures w14:val="none"/>
        </w:rPr>
        <w:t xml:space="preserve">Oświadczamy, iż posiadamy niezbędne doświadczenie zawodowe do zrealizowania przedmiotu zamówienia. </w:t>
      </w:r>
    </w:p>
    <w:p w14:paraId="16437A03" w14:textId="77777777" w:rsidR="000A0437" w:rsidRPr="000A0437" w:rsidRDefault="000A0437" w:rsidP="000A0437">
      <w:pPr>
        <w:numPr>
          <w:ilvl w:val="0"/>
          <w:numId w:val="2"/>
        </w:numPr>
        <w:tabs>
          <w:tab w:val="left" w:pos="-1134"/>
          <w:tab w:val="left" w:pos="15"/>
        </w:tabs>
        <w:spacing w:after="0" w:line="276" w:lineRule="auto"/>
        <w:ind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Akceptujemy czas związania ofertą – </w:t>
      </w:r>
      <w:r w:rsidRPr="000A043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45 dni. 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Termin ten rozpoczyna się wraz z upływem terminu składania ofert.</w:t>
      </w:r>
    </w:p>
    <w:p w14:paraId="35AC82FB" w14:textId="77777777" w:rsidR="000A0437" w:rsidRPr="000A0437" w:rsidRDefault="000A0437" w:rsidP="000A0437">
      <w:pPr>
        <w:numPr>
          <w:ilvl w:val="0"/>
          <w:numId w:val="2"/>
        </w:numPr>
        <w:tabs>
          <w:tab w:val="left" w:pos="-1134"/>
          <w:tab w:val="left" w:pos="15"/>
        </w:tabs>
        <w:spacing w:after="0" w:line="276" w:lineRule="auto"/>
        <w:ind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Akceptujemy wymagania Zamawiającego odnośnie serwisów i ubezpieczenia i w razie podpisania z nami umowy zobowiązujemy się wszystkie dane wymagania uwzględnić w jej treści. </w:t>
      </w:r>
    </w:p>
    <w:p w14:paraId="3629B25F" w14:textId="77777777" w:rsidR="000A0437" w:rsidRPr="000A0437" w:rsidRDefault="000A0437" w:rsidP="000A0437">
      <w:pPr>
        <w:numPr>
          <w:ilvl w:val="0"/>
          <w:numId w:val="2"/>
        </w:numPr>
        <w:tabs>
          <w:tab w:val="left" w:pos="-1134"/>
          <w:tab w:val="left" w:pos="15"/>
        </w:tabs>
        <w:spacing w:after="0" w:line="276" w:lineRule="auto"/>
        <w:ind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Akceptujemy treść wzoru umowy, stanowiącego </w:t>
      </w:r>
      <w:r w:rsidRPr="000A0437">
        <w:rPr>
          <w:rFonts w:ascii="Calibri" w:eastAsia="Times New Roman" w:hAnsi="Calibri" w:cs="Calibri"/>
          <w:b/>
          <w:bCs/>
          <w:i/>
          <w:iCs/>
          <w:kern w:val="0"/>
          <w:lang w:eastAsia="pl-PL"/>
          <w14:ligatures w14:val="none"/>
        </w:rPr>
        <w:t>załącznik nr 5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 SIWZ i w razie wybrania naszej oferty zobowiązujemy się do podpisania umowy w jego treści.</w:t>
      </w:r>
    </w:p>
    <w:p w14:paraId="78ACC285" w14:textId="77777777" w:rsidR="000A0437" w:rsidRPr="000A0437" w:rsidRDefault="000A0437" w:rsidP="000A0437">
      <w:pPr>
        <w:numPr>
          <w:ilvl w:val="0"/>
          <w:numId w:val="2"/>
        </w:numPr>
        <w:spacing w:after="0" w:line="276" w:lineRule="auto"/>
        <w:ind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Informujemy, że niżej wymienione części zamówienia zamierzamy wykonać przy pomocy podwykonawców:</w:t>
      </w:r>
    </w:p>
    <w:p w14:paraId="16AF6A9F" w14:textId="77777777" w:rsidR="000A0437" w:rsidRPr="000A0437" w:rsidRDefault="000A0437" w:rsidP="000A0437">
      <w:pPr>
        <w:widowControl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A0437">
        <w:rPr>
          <w:rFonts w:ascii="Calibri" w:eastAsia="Times New Roman" w:hAnsi="Calibri" w:cs="Calibri"/>
          <w:color w:val="000000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9A0471" w14:textId="77777777" w:rsidR="000A0437" w:rsidRPr="000A0437" w:rsidRDefault="000A0437" w:rsidP="000A0437">
      <w:pPr>
        <w:widowControl w:val="0"/>
        <w:autoSpaceDN w:val="0"/>
        <w:adjustRightInd w:val="0"/>
        <w:spacing w:after="0" w:line="276" w:lineRule="auto"/>
        <w:ind w:left="720"/>
        <w:jc w:val="center"/>
        <w:rPr>
          <w:rFonts w:ascii="Calibri" w:eastAsia="Times New Roman" w:hAnsi="Calibri" w:cs="Calibri"/>
          <w:i/>
          <w:kern w:val="0"/>
          <w14:ligatures w14:val="none"/>
        </w:rPr>
      </w:pPr>
      <w:r w:rsidRPr="000A0437">
        <w:rPr>
          <w:rFonts w:ascii="Calibri" w:eastAsia="Times New Roman" w:hAnsi="Calibri" w:cs="Calibri"/>
          <w:i/>
          <w:kern w:val="0"/>
          <w14:ligatures w14:val="none"/>
        </w:rPr>
        <w:t>(wpisać zakres prac lub „nie dotyczy”)</w:t>
      </w:r>
    </w:p>
    <w:p w14:paraId="49A9431C" w14:textId="77777777" w:rsidR="000A0437" w:rsidRPr="000A0437" w:rsidRDefault="000A0437" w:rsidP="000A0437">
      <w:pPr>
        <w:numPr>
          <w:ilvl w:val="0"/>
          <w:numId w:val="2"/>
        </w:numPr>
        <w:tabs>
          <w:tab w:val="left" w:pos="-15"/>
        </w:tabs>
        <w:spacing w:after="0" w:line="276" w:lineRule="auto"/>
        <w:ind w:left="284" w:hanging="56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Ofertę składamy na .......... ponumerowanych stronach w sposób ciągły, wraz 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załącznikami które stanowią:</w:t>
      </w:r>
    </w:p>
    <w:p w14:paraId="7D805DC3" w14:textId="77777777" w:rsidR="000A0437" w:rsidRPr="000A0437" w:rsidRDefault="000A0437" w:rsidP="000A0437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:lang w:val="x-none"/>
          <w14:ligatures w14:val="none"/>
        </w:rPr>
      </w:pPr>
      <w:r w:rsidRPr="000A0437">
        <w:rPr>
          <w:rFonts w:ascii="Calibri" w:eastAsia="Calibri" w:hAnsi="Calibri" w:cs="Calibri"/>
          <w:color w:val="000000"/>
          <w:kern w:val="0"/>
          <w:lang w:val="x-none"/>
          <w14:ligatures w14:val="none"/>
        </w:rPr>
        <w:t>…………………………………………………………………………………………</w:t>
      </w:r>
    </w:p>
    <w:p w14:paraId="409A04D1" w14:textId="77777777" w:rsidR="000A0437" w:rsidRPr="000A0437" w:rsidRDefault="000A0437" w:rsidP="000A0437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:lang w:val="x-none"/>
          <w14:ligatures w14:val="none"/>
        </w:rPr>
      </w:pPr>
      <w:r w:rsidRPr="000A0437">
        <w:rPr>
          <w:rFonts w:ascii="Calibri" w:eastAsia="Calibri" w:hAnsi="Calibri" w:cs="Calibri"/>
          <w:color w:val="000000"/>
          <w:kern w:val="0"/>
          <w:lang w:val="x-none"/>
          <w14:ligatures w14:val="none"/>
        </w:rPr>
        <w:t>…………………………………………………………………………………………</w:t>
      </w:r>
    </w:p>
    <w:p w14:paraId="6FB78CE1" w14:textId="77777777" w:rsidR="000A0437" w:rsidRPr="000A0437" w:rsidRDefault="000A0437" w:rsidP="000A0437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:lang w:val="x-none"/>
          <w14:ligatures w14:val="none"/>
        </w:rPr>
      </w:pPr>
      <w:r w:rsidRPr="000A0437">
        <w:rPr>
          <w:rFonts w:ascii="Calibri" w:eastAsia="Calibri" w:hAnsi="Calibri" w:cs="Calibri"/>
          <w:color w:val="000000"/>
          <w:kern w:val="0"/>
          <w:lang w:val="x-none"/>
          <w14:ligatures w14:val="none"/>
        </w:rPr>
        <w:t>………………………………………………………………………………………..</w:t>
      </w:r>
    </w:p>
    <w:p w14:paraId="6FA49476" w14:textId="77777777" w:rsidR="000A0437" w:rsidRPr="000A0437" w:rsidRDefault="000A0437" w:rsidP="000A0437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:lang w:val="x-none"/>
          <w14:ligatures w14:val="none"/>
        </w:rPr>
      </w:pPr>
      <w:r w:rsidRPr="000A0437">
        <w:rPr>
          <w:rFonts w:ascii="Calibri" w:eastAsia="Calibri" w:hAnsi="Calibri" w:cs="Calibri"/>
          <w:color w:val="000000"/>
          <w:kern w:val="0"/>
          <w:lang w:val="x-none"/>
          <w14:ligatures w14:val="none"/>
        </w:rPr>
        <w:t>………………………………………………………………………………………..</w:t>
      </w:r>
    </w:p>
    <w:p w14:paraId="17E07578" w14:textId="77777777" w:rsidR="000A0437" w:rsidRPr="000A0437" w:rsidRDefault="000A0437" w:rsidP="000A0437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/>
          <w:kern w:val="0"/>
          <w:lang w:val="x-none"/>
          <w14:ligatures w14:val="none"/>
        </w:rPr>
      </w:pPr>
    </w:p>
    <w:p w14:paraId="19074726" w14:textId="77777777" w:rsidR="000A0437" w:rsidRPr="000A0437" w:rsidRDefault="000A0437" w:rsidP="000A0437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..................................., dn. ...........................</w:t>
      </w:r>
    </w:p>
    <w:p w14:paraId="2F1BFB55" w14:textId="1FE5CCD0" w:rsidR="000A0437" w:rsidRPr="000A0437" w:rsidRDefault="000A0437" w:rsidP="000A0437">
      <w:pPr>
        <w:spacing w:after="0" w:line="276" w:lineRule="auto"/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              miejscowość                                    data </w:t>
      </w:r>
      <w:r>
        <w:rPr>
          <w:rFonts w:ascii="Calibri" w:eastAsia="Times New Roman" w:hAnsi="Calibri" w:cs="Calibri"/>
          <w:bCs/>
          <w:kern w:val="0"/>
          <w:sz w:val="18"/>
          <w:szCs w:val="18"/>
          <w:lang w:eastAsia="pl-PL"/>
          <w14:ligatures w14:val="none"/>
        </w:rPr>
        <w:t xml:space="preserve">                             </w:t>
      </w:r>
      <w:r w:rsidRPr="000A0437">
        <w:rPr>
          <w:rFonts w:ascii="Calibri" w:eastAsia="Times New Roman" w:hAnsi="Calibri" w:cs="Calibri"/>
          <w:bCs/>
          <w:kern w:val="32"/>
          <w:lang w:val="x-none" w:eastAsia="x-none"/>
          <w14:ligatures w14:val="none"/>
        </w:rPr>
        <w:t>…………..............................................................</w:t>
      </w:r>
      <w:r w:rsidRPr="000A0437">
        <w:rPr>
          <w:rFonts w:ascii="Calibri" w:eastAsia="Times New Roman" w:hAnsi="Calibri" w:cs="Calibri"/>
          <w:bCs/>
          <w:kern w:val="32"/>
          <w:lang w:eastAsia="x-none"/>
          <w14:ligatures w14:val="none"/>
        </w:rPr>
        <w:t>......</w:t>
      </w:r>
    </w:p>
    <w:p w14:paraId="575E875C" w14:textId="09D4B78D" w:rsidR="00025E24" w:rsidRDefault="000A0437" w:rsidP="000A0437">
      <w:pPr>
        <w:autoSpaceDE w:val="0"/>
        <w:autoSpaceDN w:val="0"/>
        <w:adjustRightInd w:val="0"/>
        <w:spacing w:after="0" w:line="276" w:lineRule="auto"/>
        <w:ind w:left="2880" w:firstLine="720"/>
        <w:rPr>
          <w:rFonts w:ascii="Calibri" w:eastAsia="CenturyGothic,Italic" w:hAnsi="Calibri" w:cs="Calibri"/>
          <w:i/>
          <w:iCs/>
          <w:kern w:val="0"/>
          <w:sz w:val="18"/>
          <w:szCs w:val="18"/>
          <w:lang w:eastAsia="pl-PL"/>
          <w14:ligatures w14:val="none"/>
        </w:rPr>
      </w:pPr>
      <w:r w:rsidRPr="000A0437"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                                               </w:t>
      </w:r>
      <w:r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      </w:t>
      </w:r>
      <w:r w:rsidRPr="000A0437"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0A0437">
        <w:rPr>
          <w:rFonts w:ascii="Calibri" w:eastAsia="CenturyGothic,Italic" w:hAnsi="Calibri" w:cs="Calibri"/>
          <w:i/>
          <w:iCs/>
          <w:kern w:val="0"/>
          <w:sz w:val="18"/>
          <w:szCs w:val="18"/>
          <w:lang w:eastAsia="pl-PL"/>
          <w14:ligatures w14:val="none"/>
        </w:rPr>
        <w:t>podpis Wykonawcy</w:t>
      </w:r>
    </w:p>
    <w:p w14:paraId="31AD3D28" w14:textId="77777777" w:rsidR="000A0437" w:rsidRPr="003900E0" w:rsidRDefault="000A0437" w:rsidP="000A0437">
      <w:pPr>
        <w:pStyle w:val="Nagwek3"/>
        <w:shd w:val="clear" w:color="auto" w:fill="F2F2F2"/>
        <w:spacing w:after="240" w:line="276" w:lineRule="auto"/>
        <w:jc w:val="right"/>
        <w:rPr>
          <w:rStyle w:val="Odwoanieintensywne"/>
          <w:rFonts w:cstheme="minorHAnsi"/>
          <w:color w:val="auto"/>
          <w:sz w:val="26"/>
          <w:szCs w:val="26"/>
          <w:u w:val="single"/>
        </w:rPr>
      </w:pPr>
      <w:r w:rsidRPr="003900E0">
        <w:rPr>
          <w:rStyle w:val="Odwoanieintensywne"/>
          <w:rFonts w:cstheme="minorHAnsi"/>
          <w:color w:val="auto"/>
          <w:sz w:val="26"/>
          <w:szCs w:val="26"/>
          <w:u w:val="single"/>
        </w:rPr>
        <w:lastRenderedPageBreak/>
        <w:t>Załącznik nr 2b do SIWZ</w:t>
      </w:r>
    </w:p>
    <w:p w14:paraId="5E10056A" w14:textId="77777777" w:rsidR="000A0437" w:rsidRPr="003900E0" w:rsidRDefault="000A0437" w:rsidP="000A0437">
      <w:pPr>
        <w:pStyle w:val="Nagwek3"/>
        <w:shd w:val="clear" w:color="auto" w:fill="F2F2F2"/>
        <w:spacing w:after="240" w:line="276" w:lineRule="auto"/>
        <w:jc w:val="center"/>
        <w:rPr>
          <w:rStyle w:val="Odwoanieintensywne"/>
          <w:rFonts w:cstheme="minorHAnsi"/>
          <w:color w:val="auto"/>
          <w:sz w:val="26"/>
          <w:szCs w:val="26"/>
          <w:u w:val="single"/>
        </w:rPr>
      </w:pPr>
      <w:r w:rsidRPr="003900E0">
        <w:rPr>
          <w:rStyle w:val="Odwoanieintensywne"/>
          <w:rFonts w:cstheme="minorHAnsi"/>
          <w:color w:val="auto"/>
          <w:sz w:val="26"/>
          <w:szCs w:val="26"/>
          <w:u w:val="single"/>
        </w:rPr>
        <w:t>szczegółowy opis oferowanego przedmiotu</w:t>
      </w:r>
    </w:p>
    <w:p w14:paraId="27ACA434" w14:textId="77777777" w:rsidR="000A0437" w:rsidRDefault="000A0437" w:rsidP="000A0437">
      <w:pPr>
        <w:autoSpaceDE w:val="0"/>
        <w:autoSpaceDN w:val="0"/>
        <w:adjustRightInd w:val="0"/>
        <w:spacing w:line="240" w:lineRule="exact"/>
        <w:rPr>
          <w:rFonts w:eastAsia="CenturyGothic,Italic" w:cstheme="minorHAnsi"/>
        </w:rPr>
      </w:pPr>
    </w:p>
    <w:p w14:paraId="25241990" w14:textId="77777777" w:rsidR="000A0437" w:rsidRDefault="000A0437" w:rsidP="000A0437">
      <w:pPr>
        <w:autoSpaceDE w:val="0"/>
        <w:autoSpaceDN w:val="0"/>
        <w:adjustRightInd w:val="0"/>
        <w:spacing w:line="240" w:lineRule="exact"/>
        <w:rPr>
          <w:rFonts w:eastAsia="CenturyGothic,Italic" w:cstheme="minorHAnsi"/>
        </w:rPr>
      </w:pPr>
      <w:r w:rsidRPr="009B22AE">
        <w:rPr>
          <w:rFonts w:eastAsia="CenturyGothic,Italic" w:cstheme="minorHAnsi"/>
        </w:rPr>
        <w:t>Składając ofertę na „Zakup przełączników dostępowych” oferujemy urządzenia o następujących parametrach technicznych</w:t>
      </w:r>
      <w:r>
        <w:rPr>
          <w:rFonts w:eastAsia="CenturyGothic,Italic" w:cstheme="minorHAnsi"/>
        </w:rPr>
        <w:t>:</w:t>
      </w:r>
    </w:p>
    <w:p w14:paraId="06531AFB" w14:textId="77777777" w:rsidR="000A0437" w:rsidRDefault="000A0437" w:rsidP="000A0437">
      <w:pPr>
        <w:autoSpaceDE w:val="0"/>
        <w:autoSpaceDN w:val="0"/>
        <w:adjustRightInd w:val="0"/>
        <w:spacing w:line="240" w:lineRule="exact"/>
        <w:rPr>
          <w:rFonts w:eastAsia="CenturyGothic,Italic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0"/>
        <w:gridCol w:w="1884"/>
        <w:gridCol w:w="3811"/>
        <w:gridCol w:w="2147"/>
      </w:tblGrid>
      <w:tr w:rsidR="000A0437" w14:paraId="6924110A" w14:textId="77777777" w:rsidTr="003900E0">
        <w:tc>
          <w:tcPr>
            <w:tcW w:w="1220" w:type="dxa"/>
          </w:tcPr>
          <w:p w14:paraId="3D3EC2BC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>
              <w:rPr>
                <w:rFonts w:asciiTheme="minorHAnsi" w:eastAsia="CenturyGothic,Italic" w:hAnsiTheme="minorHAnsi" w:cstheme="minorHAnsi"/>
              </w:rPr>
              <w:t xml:space="preserve">Lp. </w:t>
            </w:r>
          </w:p>
        </w:tc>
        <w:tc>
          <w:tcPr>
            <w:tcW w:w="1884" w:type="dxa"/>
          </w:tcPr>
          <w:p w14:paraId="2BC17EF0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>
              <w:rPr>
                <w:rFonts w:asciiTheme="minorHAnsi" w:eastAsia="CenturyGothic,Italic" w:hAnsiTheme="minorHAnsi" w:cstheme="minorHAnsi"/>
              </w:rPr>
              <w:t>Przedmiot zakupu</w:t>
            </w:r>
          </w:p>
        </w:tc>
        <w:tc>
          <w:tcPr>
            <w:tcW w:w="3811" w:type="dxa"/>
          </w:tcPr>
          <w:p w14:paraId="392F9275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>
              <w:rPr>
                <w:rFonts w:asciiTheme="minorHAnsi" w:eastAsia="CenturyGothic,Italic" w:hAnsiTheme="minorHAnsi" w:cstheme="minorHAnsi"/>
              </w:rPr>
              <w:t xml:space="preserve">Opis parametru wymaganego przez Zamawiającego </w:t>
            </w:r>
          </w:p>
        </w:tc>
        <w:tc>
          <w:tcPr>
            <w:tcW w:w="2147" w:type="dxa"/>
          </w:tcPr>
          <w:p w14:paraId="7112611A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>
              <w:rPr>
                <w:rFonts w:asciiTheme="minorHAnsi" w:eastAsia="CenturyGothic,Italic" w:hAnsiTheme="minorHAnsi" w:cstheme="minorHAnsi"/>
              </w:rPr>
              <w:t>Określenie parametru oferowanego przez Wykonawcę (spełnia/nie spełnia)</w:t>
            </w:r>
          </w:p>
        </w:tc>
      </w:tr>
      <w:tr w:rsidR="000A0437" w14:paraId="7A39659D" w14:textId="77777777" w:rsidTr="003900E0">
        <w:tc>
          <w:tcPr>
            <w:tcW w:w="1220" w:type="dxa"/>
            <w:vAlign w:val="center"/>
          </w:tcPr>
          <w:p w14:paraId="27AE8A5F" w14:textId="77777777" w:rsidR="000A0437" w:rsidRPr="009B22AE" w:rsidRDefault="000A0437" w:rsidP="00966E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CenturyGothic,Italic" w:hAnsiTheme="minorHAnsi" w:cstheme="minorHAnsi"/>
                <w:b/>
                <w:bCs/>
                <w:i/>
                <w:iCs/>
              </w:rPr>
            </w:pPr>
            <w:r w:rsidRPr="009B22AE">
              <w:rPr>
                <w:rFonts w:asciiTheme="minorHAnsi" w:eastAsia="CenturyGothic,Italic" w:hAnsiTheme="minorHAnsi"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884" w:type="dxa"/>
            <w:vAlign w:val="center"/>
          </w:tcPr>
          <w:p w14:paraId="6DFF1AE7" w14:textId="77777777" w:rsidR="000A0437" w:rsidRPr="009B22AE" w:rsidRDefault="000A0437" w:rsidP="00966E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CenturyGothic,Italic" w:hAnsiTheme="minorHAnsi" w:cstheme="minorHAnsi"/>
                <w:b/>
                <w:bCs/>
                <w:i/>
                <w:iCs/>
              </w:rPr>
            </w:pPr>
            <w:r w:rsidRPr="009B22AE">
              <w:rPr>
                <w:rFonts w:asciiTheme="minorHAnsi" w:eastAsia="CenturyGothic,Italic" w:hAnsiTheme="minorHAnsi" w:cstheme="minorHAnsi"/>
                <w:b/>
                <w:bCs/>
                <w:i/>
                <w:iCs/>
              </w:rPr>
              <w:t>2</w:t>
            </w:r>
          </w:p>
        </w:tc>
        <w:tc>
          <w:tcPr>
            <w:tcW w:w="3811" w:type="dxa"/>
            <w:vAlign w:val="center"/>
          </w:tcPr>
          <w:p w14:paraId="6EB7F931" w14:textId="77777777" w:rsidR="000A0437" w:rsidRPr="009B22AE" w:rsidRDefault="000A0437" w:rsidP="00966E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CenturyGothic,Italic" w:hAnsiTheme="minorHAnsi" w:cstheme="minorHAnsi"/>
                <w:b/>
                <w:bCs/>
                <w:i/>
                <w:iCs/>
              </w:rPr>
            </w:pPr>
            <w:r w:rsidRPr="009B22AE">
              <w:rPr>
                <w:rFonts w:asciiTheme="minorHAnsi" w:eastAsia="CenturyGothic,Italic" w:hAnsiTheme="minorHAnsi" w:cstheme="minorHAnsi"/>
                <w:b/>
                <w:bCs/>
                <w:i/>
                <w:iCs/>
              </w:rPr>
              <w:t>3</w:t>
            </w:r>
          </w:p>
        </w:tc>
        <w:tc>
          <w:tcPr>
            <w:tcW w:w="2147" w:type="dxa"/>
            <w:vAlign w:val="center"/>
          </w:tcPr>
          <w:p w14:paraId="22DFAE96" w14:textId="77777777" w:rsidR="000A0437" w:rsidRPr="009B22AE" w:rsidRDefault="000A0437" w:rsidP="00966E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CenturyGothic,Italic" w:hAnsiTheme="minorHAnsi" w:cstheme="minorHAnsi"/>
                <w:b/>
                <w:bCs/>
                <w:i/>
                <w:iCs/>
              </w:rPr>
            </w:pPr>
            <w:r w:rsidRPr="009B22AE">
              <w:rPr>
                <w:rFonts w:asciiTheme="minorHAnsi" w:eastAsia="CenturyGothic,Italic" w:hAnsiTheme="minorHAnsi" w:cstheme="minorHAnsi"/>
                <w:b/>
                <w:bCs/>
                <w:i/>
                <w:iCs/>
              </w:rPr>
              <w:t>4</w:t>
            </w:r>
          </w:p>
        </w:tc>
      </w:tr>
      <w:tr w:rsidR="000A0437" w14:paraId="4D41618A" w14:textId="77777777" w:rsidTr="003900E0">
        <w:tc>
          <w:tcPr>
            <w:tcW w:w="1220" w:type="dxa"/>
          </w:tcPr>
          <w:p w14:paraId="06FC2FE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</w:t>
            </w:r>
          </w:p>
        </w:tc>
        <w:tc>
          <w:tcPr>
            <w:tcW w:w="1884" w:type="dxa"/>
            <w:vMerge w:val="restart"/>
            <w:vAlign w:val="center"/>
          </w:tcPr>
          <w:p w14:paraId="13C73C3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 xml:space="preserve">Przełączniki dostępowe 24 portowe </w:t>
            </w:r>
          </w:p>
        </w:tc>
        <w:tc>
          <w:tcPr>
            <w:tcW w:w="3811" w:type="dxa"/>
            <w:vAlign w:val="center"/>
          </w:tcPr>
          <w:p w14:paraId="5D5CD3E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Minimum 24 porty 10/100/1000BASE-T z wsparciem dla standardów PoE (standardy 802.3af i 802.3at), umieszczone z przodu obudowy</w:t>
            </w:r>
          </w:p>
        </w:tc>
        <w:tc>
          <w:tcPr>
            <w:tcW w:w="2147" w:type="dxa"/>
          </w:tcPr>
          <w:p w14:paraId="4D3A3649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79BB59B0" w14:textId="77777777" w:rsidTr="003900E0">
        <w:tc>
          <w:tcPr>
            <w:tcW w:w="1220" w:type="dxa"/>
          </w:tcPr>
          <w:p w14:paraId="6047CEDC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</w:t>
            </w:r>
          </w:p>
        </w:tc>
        <w:tc>
          <w:tcPr>
            <w:tcW w:w="1884" w:type="dxa"/>
            <w:vMerge/>
          </w:tcPr>
          <w:p w14:paraId="3DD7C50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9AFA2F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Minimum 4 porty 1/10-gigabitowe SFP+ ze wsparciem standardu 10GBaseLRM umieszczone z przodu obudowy, minimum 2 z nich muszą wspierać standard MACsec</w:t>
            </w:r>
          </w:p>
        </w:tc>
        <w:tc>
          <w:tcPr>
            <w:tcW w:w="2147" w:type="dxa"/>
          </w:tcPr>
          <w:p w14:paraId="020AF73C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5B64789" w14:textId="77777777" w:rsidTr="003900E0">
        <w:tc>
          <w:tcPr>
            <w:tcW w:w="1220" w:type="dxa"/>
          </w:tcPr>
          <w:p w14:paraId="236CAB2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</w:t>
            </w:r>
          </w:p>
        </w:tc>
        <w:tc>
          <w:tcPr>
            <w:tcW w:w="1884" w:type="dxa"/>
            <w:vMerge/>
          </w:tcPr>
          <w:p w14:paraId="1AEFC00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AA6AED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 xml:space="preserve">Przepustowość: minimum 128 Gb/s (pełna prędkość, tzw. wire-speed, na wszystkich portach przełącznika) </w:t>
            </w:r>
          </w:p>
        </w:tc>
        <w:tc>
          <w:tcPr>
            <w:tcW w:w="2147" w:type="dxa"/>
          </w:tcPr>
          <w:p w14:paraId="678EA0A8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1F644785" w14:textId="77777777" w:rsidTr="003900E0">
        <w:tc>
          <w:tcPr>
            <w:tcW w:w="1220" w:type="dxa"/>
          </w:tcPr>
          <w:p w14:paraId="1CE3524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</w:t>
            </w:r>
          </w:p>
        </w:tc>
        <w:tc>
          <w:tcPr>
            <w:tcW w:w="1884" w:type="dxa"/>
            <w:vMerge/>
          </w:tcPr>
          <w:p w14:paraId="57D90D4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3CDFCE5D" w14:textId="77777777" w:rsidR="000A0437" w:rsidRPr="001D2D6F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Wydajność: minimum 95 Mp/s</w:t>
            </w:r>
          </w:p>
          <w:p w14:paraId="70FC90A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2445A8AA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FD020CA" w14:textId="77777777" w:rsidTr="003900E0">
        <w:tc>
          <w:tcPr>
            <w:tcW w:w="1220" w:type="dxa"/>
          </w:tcPr>
          <w:p w14:paraId="651870E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</w:t>
            </w:r>
          </w:p>
        </w:tc>
        <w:tc>
          <w:tcPr>
            <w:tcW w:w="1884" w:type="dxa"/>
            <w:vMerge/>
          </w:tcPr>
          <w:p w14:paraId="75B0924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1E99740" w14:textId="77777777" w:rsidR="000A0437" w:rsidRPr="001D2D6F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Bufor pakietów: minimum 6 MB</w:t>
            </w:r>
          </w:p>
          <w:p w14:paraId="495C2EB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707912B8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F10406B" w14:textId="77777777" w:rsidTr="003900E0">
        <w:tc>
          <w:tcPr>
            <w:tcW w:w="1220" w:type="dxa"/>
          </w:tcPr>
          <w:p w14:paraId="1E86E0A4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6</w:t>
            </w:r>
          </w:p>
        </w:tc>
        <w:tc>
          <w:tcPr>
            <w:tcW w:w="1884" w:type="dxa"/>
            <w:vMerge/>
          </w:tcPr>
          <w:p w14:paraId="3764C5C6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300420BC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Minimum 8GB pamięci operacyjnej</w:t>
            </w:r>
          </w:p>
          <w:p w14:paraId="2968A40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2E69E202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01997140" w14:textId="77777777" w:rsidTr="003900E0">
        <w:tc>
          <w:tcPr>
            <w:tcW w:w="1220" w:type="dxa"/>
          </w:tcPr>
          <w:p w14:paraId="1D840C9C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7</w:t>
            </w:r>
          </w:p>
        </w:tc>
        <w:tc>
          <w:tcPr>
            <w:tcW w:w="1884" w:type="dxa"/>
            <w:vMerge/>
          </w:tcPr>
          <w:p w14:paraId="6DE477F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0DA2606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Minimum 15GB wewnętrznej pamięci nieulotnej typu Flash (CF, SSD, SD, eUSB, SPI Flash)</w:t>
            </w:r>
          </w:p>
        </w:tc>
        <w:tc>
          <w:tcPr>
            <w:tcW w:w="2147" w:type="dxa"/>
          </w:tcPr>
          <w:p w14:paraId="7BF1AD7C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1D5050B" w14:textId="77777777" w:rsidTr="003900E0">
        <w:tc>
          <w:tcPr>
            <w:tcW w:w="1220" w:type="dxa"/>
          </w:tcPr>
          <w:p w14:paraId="769A59D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8</w:t>
            </w:r>
          </w:p>
        </w:tc>
        <w:tc>
          <w:tcPr>
            <w:tcW w:w="1884" w:type="dxa"/>
            <w:vMerge/>
          </w:tcPr>
          <w:p w14:paraId="1A74C8A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D41606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Dedykowany port do zarządzania poza pasmowego (Ethernet, RJ-45), w pełni niezależny od portów liniowych</w:t>
            </w:r>
          </w:p>
        </w:tc>
        <w:tc>
          <w:tcPr>
            <w:tcW w:w="2147" w:type="dxa"/>
          </w:tcPr>
          <w:p w14:paraId="201BB3FF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0126CD2B" w14:textId="77777777" w:rsidTr="003900E0">
        <w:tc>
          <w:tcPr>
            <w:tcW w:w="1220" w:type="dxa"/>
          </w:tcPr>
          <w:p w14:paraId="442F54C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9</w:t>
            </w:r>
          </w:p>
        </w:tc>
        <w:tc>
          <w:tcPr>
            <w:tcW w:w="1884" w:type="dxa"/>
            <w:vMerge/>
          </w:tcPr>
          <w:p w14:paraId="66D54C8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FE6EF1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Dedykowany port konsoli USB</w:t>
            </w:r>
          </w:p>
          <w:p w14:paraId="796F9A86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4987FDF7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138B091F" w14:textId="77777777" w:rsidTr="003900E0">
        <w:tc>
          <w:tcPr>
            <w:tcW w:w="1220" w:type="dxa"/>
          </w:tcPr>
          <w:p w14:paraId="48999554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10</w:t>
            </w:r>
          </w:p>
        </w:tc>
        <w:tc>
          <w:tcPr>
            <w:tcW w:w="1884" w:type="dxa"/>
            <w:vMerge/>
          </w:tcPr>
          <w:p w14:paraId="4702A5E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BA2C9C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Port USB 2.0 (niezależny od portu konsoli USB)</w:t>
            </w:r>
          </w:p>
          <w:p w14:paraId="3F22FE94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3C8D4B35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579C8770" w14:textId="77777777" w:rsidTr="003900E0">
        <w:tc>
          <w:tcPr>
            <w:tcW w:w="1220" w:type="dxa"/>
          </w:tcPr>
          <w:p w14:paraId="57E9AE1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11</w:t>
            </w:r>
          </w:p>
        </w:tc>
        <w:tc>
          <w:tcPr>
            <w:tcW w:w="1884" w:type="dxa"/>
            <w:vMerge/>
          </w:tcPr>
          <w:p w14:paraId="3AC7D124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EAF1B6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Interfejs Bluetooth (dopuszcza się rozwiązanie w postaci adaptera Bluetooth, podłączanego do portu USB przełącznika, przy czym adapter musi pochodzić od tego samego producenta co przełącznik, nie musi być zaoferowany na tym etapie)</w:t>
            </w:r>
          </w:p>
        </w:tc>
        <w:tc>
          <w:tcPr>
            <w:tcW w:w="2147" w:type="dxa"/>
          </w:tcPr>
          <w:p w14:paraId="3EBC447F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A199154" w14:textId="77777777" w:rsidTr="003900E0">
        <w:trPr>
          <w:trHeight w:val="4110"/>
        </w:trPr>
        <w:tc>
          <w:tcPr>
            <w:tcW w:w="1220" w:type="dxa"/>
          </w:tcPr>
          <w:p w14:paraId="2B04C29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lastRenderedPageBreak/>
              <w:t>12</w:t>
            </w:r>
          </w:p>
        </w:tc>
        <w:tc>
          <w:tcPr>
            <w:tcW w:w="1884" w:type="dxa"/>
            <w:vMerge w:val="restart"/>
            <w:vAlign w:val="center"/>
          </w:tcPr>
          <w:p w14:paraId="70A9A15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  <w:p w14:paraId="36A0B226" w14:textId="77777777" w:rsidR="000A0437" w:rsidRPr="003E1953" w:rsidRDefault="000A0437" w:rsidP="00966EFA">
            <w:pPr>
              <w:rPr>
                <w:rFonts w:asciiTheme="minorHAnsi" w:eastAsia="CenturyGothic,Italic" w:hAnsiTheme="minorHAnsi" w:cstheme="minorHAnsi"/>
              </w:rPr>
            </w:pPr>
          </w:p>
          <w:p w14:paraId="4DDF205D" w14:textId="77777777" w:rsidR="000A0437" w:rsidRPr="003E1953" w:rsidRDefault="000A0437" w:rsidP="00966EFA">
            <w:pPr>
              <w:rPr>
                <w:rFonts w:asciiTheme="minorHAnsi" w:eastAsia="CenturyGothic,Italic" w:hAnsiTheme="minorHAnsi" w:cstheme="minorHAnsi"/>
              </w:rPr>
            </w:pPr>
          </w:p>
          <w:p w14:paraId="03E97159" w14:textId="77777777" w:rsidR="000A0437" w:rsidRPr="003E1953" w:rsidRDefault="000A0437" w:rsidP="00966EFA">
            <w:pPr>
              <w:rPr>
                <w:rFonts w:asciiTheme="minorHAnsi" w:eastAsia="CenturyGothic,Italic" w:hAnsiTheme="minorHAnsi" w:cstheme="minorHAnsi"/>
              </w:rPr>
            </w:pPr>
          </w:p>
          <w:p w14:paraId="2DAE037A" w14:textId="77777777" w:rsidR="000A0437" w:rsidRPr="003E1953" w:rsidRDefault="000A0437" w:rsidP="00966EFA">
            <w:pPr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 xml:space="preserve">Przełączniki dostępowe 24 portowe </w:t>
            </w:r>
          </w:p>
        </w:tc>
        <w:tc>
          <w:tcPr>
            <w:tcW w:w="3811" w:type="dxa"/>
          </w:tcPr>
          <w:p w14:paraId="07C8363E" w14:textId="77777777" w:rsidR="000A0437" w:rsidRPr="001D2D6F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Przełączniki tego samego typu muszą posiadać funkcję łączenia w stos (wirtualny przełącznik) złożony z minimum 8 urządzeń. Zarządzanie stosem musi odbywać się z jednego adresu IP. Z punktu widzenia zarządzania przełączniki muszą tworzyć jedno logiczne urządzenie (nie dopuszcza się rozwiązań typu klaster). Jeżeli łączenie w stos wymaga dodatkowych modułów lub licencji to dostarczenie ich jest wymagane w ramach tego postępowania. Dostępne metody łączenia przełączników muszą umożliwiać realizację stosów na odległość co najmniej 300</w:t>
            </w:r>
            <w:r>
              <w:rPr>
                <w:rFonts w:asciiTheme="minorHAnsi" w:eastAsia="CenturyGothic,Italic" w:hAnsiTheme="minorHAnsi" w:cstheme="minorHAnsi"/>
              </w:rPr>
              <w:t>m</w:t>
            </w:r>
          </w:p>
        </w:tc>
        <w:tc>
          <w:tcPr>
            <w:tcW w:w="2147" w:type="dxa"/>
          </w:tcPr>
          <w:p w14:paraId="26D5909D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7D1D2CC4" w14:textId="77777777" w:rsidTr="003900E0">
        <w:tc>
          <w:tcPr>
            <w:tcW w:w="1220" w:type="dxa"/>
          </w:tcPr>
          <w:p w14:paraId="71E9297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13</w:t>
            </w:r>
          </w:p>
        </w:tc>
        <w:tc>
          <w:tcPr>
            <w:tcW w:w="1884" w:type="dxa"/>
            <w:vMerge/>
          </w:tcPr>
          <w:p w14:paraId="18E9A8C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6FCCA9C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 xml:space="preserve">Realizacja łączy agregowanych w ramach różnych przełączników będących w stosie </w:t>
            </w:r>
          </w:p>
        </w:tc>
        <w:tc>
          <w:tcPr>
            <w:tcW w:w="2147" w:type="dxa"/>
          </w:tcPr>
          <w:p w14:paraId="3AF5A73A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71A01720" w14:textId="77777777" w:rsidTr="003900E0">
        <w:tc>
          <w:tcPr>
            <w:tcW w:w="1220" w:type="dxa"/>
          </w:tcPr>
          <w:p w14:paraId="634B4D1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14</w:t>
            </w:r>
          </w:p>
        </w:tc>
        <w:tc>
          <w:tcPr>
            <w:tcW w:w="1884" w:type="dxa"/>
            <w:vMerge/>
          </w:tcPr>
          <w:p w14:paraId="5AD96F2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28A1869" w14:textId="77777777" w:rsidR="000A0437" w:rsidRPr="003E1953" w:rsidRDefault="000A0437" w:rsidP="00966EFA">
            <w:pPr>
              <w:tabs>
                <w:tab w:val="left" w:pos="288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Wewnętrzny, modularny zasilacz AC. Slot na drugi wewnętrzny i modularny zasilacz AC. Dla zapewnienia redundancji zasilania, wymieniane podczas pracy urządzenia</w:t>
            </w:r>
          </w:p>
        </w:tc>
        <w:tc>
          <w:tcPr>
            <w:tcW w:w="2147" w:type="dxa"/>
          </w:tcPr>
          <w:p w14:paraId="66D76DE7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4DF677DB" w14:textId="77777777" w:rsidTr="003900E0">
        <w:tc>
          <w:tcPr>
            <w:tcW w:w="1220" w:type="dxa"/>
          </w:tcPr>
          <w:p w14:paraId="25A4092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15</w:t>
            </w:r>
          </w:p>
        </w:tc>
        <w:tc>
          <w:tcPr>
            <w:tcW w:w="1884" w:type="dxa"/>
            <w:vMerge/>
          </w:tcPr>
          <w:p w14:paraId="210017F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BA4A07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Budżet mocy PoE przy zastosowaniu jednego zasilacza co najmniej 370W</w:t>
            </w:r>
          </w:p>
        </w:tc>
        <w:tc>
          <w:tcPr>
            <w:tcW w:w="2147" w:type="dxa"/>
          </w:tcPr>
          <w:p w14:paraId="15ADF757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4CBC3BB" w14:textId="77777777" w:rsidTr="003900E0">
        <w:tc>
          <w:tcPr>
            <w:tcW w:w="1220" w:type="dxa"/>
          </w:tcPr>
          <w:p w14:paraId="0360EFB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16</w:t>
            </w:r>
          </w:p>
        </w:tc>
        <w:tc>
          <w:tcPr>
            <w:tcW w:w="1884" w:type="dxa"/>
            <w:vMerge/>
          </w:tcPr>
          <w:p w14:paraId="38D818B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5380B6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Modularne, redundantne wentylatory, podzielone na co najmniej dwa niezależne moduły. Moduły wentylatorów musi mieć możliwość wymiany „na gorąco” (na działającym urządzeniu)</w:t>
            </w:r>
          </w:p>
        </w:tc>
        <w:tc>
          <w:tcPr>
            <w:tcW w:w="2147" w:type="dxa"/>
          </w:tcPr>
          <w:p w14:paraId="621A44BC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4946F82" w14:textId="77777777" w:rsidTr="003900E0">
        <w:tc>
          <w:tcPr>
            <w:tcW w:w="1220" w:type="dxa"/>
          </w:tcPr>
          <w:p w14:paraId="382091D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17</w:t>
            </w:r>
          </w:p>
        </w:tc>
        <w:tc>
          <w:tcPr>
            <w:tcW w:w="1884" w:type="dxa"/>
            <w:vMerge/>
          </w:tcPr>
          <w:p w14:paraId="54877B5C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C94503C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Pobór mocy (bez PoE) nie może być większy niż 80W</w:t>
            </w:r>
          </w:p>
        </w:tc>
        <w:tc>
          <w:tcPr>
            <w:tcW w:w="2147" w:type="dxa"/>
          </w:tcPr>
          <w:p w14:paraId="10D70982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300309C7" w14:textId="77777777" w:rsidTr="003900E0">
        <w:tc>
          <w:tcPr>
            <w:tcW w:w="1220" w:type="dxa"/>
          </w:tcPr>
          <w:p w14:paraId="6D86994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18</w:t>
            </w:r>
          </w:p>
        </w:tc>
        <w:tc>
          <w:tcPr>
            <w:tcW w:w="1884" w:type="dxa"/>
            <w:vMerge/>
          </w:tcPr>
          <w:p w14:paraId="5FB41F5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C2292D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Wielkość tablicy routingu: minimum 2000 wpisów IPv4, 1000 wpisów IPv6</w:t>
            </w:r>
          </w:p>
        </w:tc>
        <w:tc>
          <w:tcPr>
            <w:tcW w:w="2147" w:type="dxa"/>
          </w:tcPr>
          <w:p w14:paraId="7567F3DB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413F5B44" w14:textId="77777777" w:rsidTr="003900E0">
        <w:tc>
          <w:tcPr>
            <w:tcW w:w="1220" w:type="dxa"/>
          </w:tcPr>
          <w:p w14:paraId="7F9ADC7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19</w:t>
            </w:r>
          </w:p>
        </w:tc>
        <w:tc>
          <w:tcPr>
            <w:tcW w:w="1884" w:type="dxa"/>
            <w:vMerge/>
          </w:tcPr>
          <w:p w14:paraId="73081AB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8F5D0E6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Wielkość tablicy ARP co najmniej 8000 wpisów, wielkość tablicy ND co najmniej 8000 wpisów</w:t>
            </w:r>
          </w:p>
        </w:tc>
        <w:tc>
          <w:tcPr>
            <w:tcW w:w="2147" w:type="dxa"/>
          </w:tcPr>
          <w:p w14:paraId="295BC91E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C23E911" w14:textId="77777777" w:rsidTr="003900E0">
        <w:tc>
          <w:tcPr>
            <w:tcW w:w="1220" w:type="dxa"/>
          </w:tcPr>
          <w:p w14:paraId="369D119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20</w:t>
            </w:r>
          </w:p>
        </w:tc>
        <w:tc>
          <w:tcPr>
            <w:tcW w:w="1884" w:type="dxa"/>
            <w:vMerge/>
          </w:tcPr>
          <w:p w14:paraId="42B908E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F96619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Tablica adresów MAC o wielkości minimum 16000 pozycji</w:t>
            </w:r>
          </w:p>
        </w:tc>
        <w:tc>
          <w:tcPr>
            <w:tcW w:w="2147" w:type="dxa"/>
          </w:tcPr>
          <w:p w14:paraId="572B1DD2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97B150B" w14:textId="77777777" w:rsidTr="003900E0">
        <w:tc>
          <w:tcPr>
            <w:tcW w:w="1220" w:type="dxa"/>
          </w:tcPr>
          <w:p w14:paraId="78B0FA9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21</w:t>
            </w:r>
          </w:p>
        </w:tc>
        <w:tc>
          <w:tcPr>
            <w:tcW w:w="1884" w:type="dxa"/>
            <w:vMerge/>
          </w:tcPr>
          <w:p w14:paraId="388AE67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3B7910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Obsługa Jumbo Frames</w:t>
            </w:r>
          </w:p>
        </w:tc>
        <w:tc>
          <w:tcPr>
            <w:tcW w:w="2147" w:type="dxa"/>
          </w:tcPr>
          <w:p w14:paraId="7443D624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7FF28DAC" w14:textId="77777777" w:rsidTr="003900E0">
        <w:tc>
          <w:tcPr>
            <w:tcW w:w="1220" w:type="dxa"/>
          </w:tcPr>
          <w:p w14:paraId="31E32B7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22</w:t>
            </w:r>
          </w:p>
        </w:tc>
        <w:tc>
          <w:tcPr>
            <w:tcW w:w="1884" w:type="dxa"/>
            <w:vMerge/>
          </w:tcPr>
          <w:p w14:paraId="7307B10C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9200F6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1D2D6F">
              <w:rPr>
                <w:rFonts w:asciiTheme="minorHAnsi" w:eastAsia="CenturyGothic,Italic" w:hAnsiTheme="minorHAnsi" w:cstheme="minorHAnsi"/>
              </w:rPr>
              <w:t>Obsługa sFlow lub Netflow</w:t>
            </w:r>
          </w:p>
        </w:tc>
        <w:tc>
          <w:tcPr>
            <w:tcW w:w="2147" w:type="dxa"/>
          </w:tcPr>
          <w:p w14:paraId="2DFA8CA6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7782E908" w14:textId="77777777" w:rsidTr="003900E0">
        <w:trPr>
          <w:trHeight w:val="767"/>
        </w:trPr>
        <w:tc>
          <w:tcPr>
            <w:tcW w:w="1220" w:type="dxa"/>
          </w:tcPr>
          <w:p w14:paraId="173209B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23</w:t>
            </w:r>
          </w:p>
        </w:tc>
        <w:tc>
          <w:tcPr>
            <w:tcW w:w="1884" w:type="dxa"/>
            <w:vMerge/>
          </w:tcPr>
          <w:p w14:paraId="75AC035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3098B4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skryptów w języku Python</w:t>
            </w:r>
          </w:p>
        </w:tc>
        <w:tc>
          <w:tcPr>
            <w:tcW w:w="2147" w:type="dxa"/>
          </w:tcPr>
          <w:p w14:paraId="00311F1A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A217C23" w14:textId="77777777" w:rsidTr="003900E0">
        <w:trPr>
          <w:trHeight w:val="955"/>
        </w:trPr>
        <w:tc>
          <w:tcPr>
            <w:tcW w:w="1220" w:type="dxa"/>
          </w:tcPr>
          <w:p w14:paraId="7432C7C6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24</w:t>
            </w:r>
          </w:p>
        </w:tc>
        <w:tc>
          <w:tcPr>
            <w:tcW w:w="1884" w:type="dxa"/>
            <w:vMerge/>
          </w:tcPr>
          <w:p w14:paraId="5B26E67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E6581C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REST API</w:t>
            </w:r>
          </w:p>
        </w:tc>
        <w:tc>
          <w:tcPr>
            <w:tcW w:w="2147" w:type="dxa"/>
          </w:tcPr>
          <w:p w14:paraId="1731BCB7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5563469C" w14:textId="77777777" w:rsidTr="003900E0">
        <w:trPr>
          <w:trHeight w:val="2693"/>
        </w:trPr>
        <w:tc>
          <w:tcPr>
            <w:tcW w:w="1220" w:type="dxa"/>
          </w:tcPr>
          <w:p w14:paraId="21A44BB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lastRenderedPageBreak/>
              <w:t>25</w:t>
            </w:r>
          </w:p>
        </w:tc>
        <w:tc>
          <w:tcPr>
            <w:tcW w:w="1884" w:type="dxa"/>
            <w:vMerge w:val="restart"/>
            <w:vAlign w:val="center"/>
          </w:tcPr>
          <w:p w14:paraId="36FA899F" w14:textId="25CEB4C1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Przełączniki dostępowe 24 portowe</w:t>
            </w:r>
          </w:p>
        </w:tc>
        <w:tc>
          <w:tcPr>
            <w:tcW w:w="3811" w:type="dxa"/>
          </w:tcPr>
          <w:p w14:paraId="447E6B2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 xml:space="preserve">Wbudowany mechanizm monitoringu, analizy i troubleshootingu anomalii i problemów oraz zbierania danych sieciowych. Musi być możliwe podejmowanie akcji na podstawie zdefiniowanych polityk oraz wgrywanie i eksport skryptów pozwalających na indywidualizację monitorowanych danych. Musi być dostępna publicznie strona producenta zawierająca zatwierdzone przez niego, gotowe do użycia skrypty.  </w:t>
            </w:r>
          </w:p>
        </w:tc>
        <w:tc>
          <w:tcPr>
            <w:tcW w:w="2147" w:type="dxa"/>
          </w:tcPr>
          <w:p w14:paraId="40E2BC6C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6DA01A85" w14:textId="77777777" w:rsidTr="003900E0">
        <w:tc>
          <w:tcPr>
            <w:tcW w:w="1220" w:type="dxa"/>
          </w:tcPr>
          <w:p w14:paraId="5C98C488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26</w:t>
            </w:r>
          </w:p>
        </w:tc>
        <w:tc>
          <w:tcPr>
            <w:tcW w:w="1884" w:type="dxa"/>
            <w:vMerge/>
          </w:tcPr>
          <w:p w14:paraId="6BB88AE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1B545D7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RMON (minimum grupy 1,2,3 i 9)</w:t>
            </w:r>
          </w:p>
        </w:tc>
        <w:tc>
          <w:tcPr>
            <w:tcW w:w="2147" w:type="dxa"/>
          </w:tcPr>
          <w:p w14:paraId="42450A12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351545CE" w14:textId="77777777" w:rsidTr="003900E0">
        <w:tc>
          <w:tcPr>
            <w:tcW w:w="1220" w:type="dxa"/>
          </w:tcPr>
          <w:p w14:paraId="3226532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27</w:t>
            </w:r>
          </w:p>
        </w:tc>
        <w:tc>
          <w:tcPr>
            <w:tcW w:w="1884" w:type="dxa"/>
            <w:vMerge/>
          </w:tcPr>
          <w:p w14:paraId="0351F71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A80C5A1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4094 tagów IEEE 802.1Q oraz 2000 jednoczesnych sieci VLAN</w:t>
            </w:r>
          </w:p>
        </w:tc>
        <w:tc>
          <w:tcPr>
            <w:tcW w:w="2147" w:type="dxa"/>
          </w:tcPr>
          <w:p w14:paraId="392AAC00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16CC6312" w14:textId="77777777" w:rsidTr="003900E0">
        <w:tc>
          <w:tcPr>
            <w:tcW w:w="1220" w:type="dxa"/>
          </w:tcPr>
          <w:p w14:paraId="0C23C675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28</w:t>
            </w:r>
          </w:p>
        </w:tc>
        <w:tc>
          <w:tcPr>
            <w:tcW w:w="1884" w:type="dxa"/>
            <w:vMerge/>
          </w:tcPr>
          <w:p w14:paraId="5381291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D11D569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standardu 802.1v</w:t>
            </w:r>
          </w:p>
        </w:tc>
        <w:tc>
          <w:tcPr>
            <w:tcW w:w="2147" w:type="dxa"/>
          </w:tcPr>
          <w:p w14:paraId="5034DB42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469A2DB5" w14:textId="77777777" w:rsidTr="003900E0">
        <w:tc>
          <w:tcPr>
            <w:tcW w:w="1220" w:type="dxa"/>
          </w:tcPr>
          <w:p w14:paraId="3A017930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29</w:t>
            </w:r>
          </w:p>
        </w:tc>
        <w:tc>
          <w:tcPr>
            <w:tcW w:w="1884" w:type="dxa"/>
            <w:vMerge/>
          </w:tcPr>
          <w:p w14:paraId="6593037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3FA0FE7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protokołu MVRP</w:t>
            </w:r>
          </w:p>
        </w:tc>
        <w:tc>
          <w:tcPr>
            <w:tcW w:w="2147" w:type="dxa"/>
          </w:tcPr>
          <w:p w14:paraId="3B40F8EB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21037276" w14:textId="77777777" w:rsidTr="003900E0">
        <w:tc>
          <w:tcPr>
            <w:tcW w:w="1220" w:type="dxa"/>
          </w:tcPr>
          <w:p w14:paraId="23D84688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30</w:t>
            </w:r>
          </w:p>
        </w:tc>
        <w:tc>
          <w:tcPr>
            <w:tcW w:w="1884" w:type="dxa"/>
            <w:vMerge/>
          </w:tcPr>
          <w:p w14:paraId="3B1697B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  <w:vAlign w:val="center"/>
          </w:tcPr>
          <w:p w14:paraId="6CC705D2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Wsparcie dla VXLAN</w:t>
            </w:r>
          </w:p>
        </w:tc>
        <w:tc>
          <w:tcPr>
            <w:tcW w:w="2147" w:type="dxa"/>
          </w:tcPr>
          <w:p w14:paraId="2A3727ED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317B9356" w14:textId="77777777" w:rsidTr="003900E0">
        <w:tc>
          <w:tcPr>
            <w:tcW w:w="1220" w:type="dxa"/>
          </w:tcPr>
          <w:p w14:paraId="1C4AD7A9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31</w:t>
            </w:r>
          </w:p>
        </w:tc>
        <w:tc>
          <w:tcPr>
            <w:tcW w:w="1884" w:type="dxa"/>
            <w:vMerge/>
          </w:tcPr>
          <w:p w14:paraId="7E402A1C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E9C6B7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 xml:space="preserve">Dostęp do urządzenia przez konsolę szeregową, HTTPS, SSHv2, SNMPv3, dedykowaną aplikację na urządzenia mobilne </w:t>
            </w:r>
          </w:p>
        </w:tc>
        <w:tc>
          <w:tcPr>
            <w:tcW w:w="2147" w:type="dxa"/>
          </w:tcPr>
          <w:p w14:paraId="51D347F0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:rsidRPr="00E069C5" w14:paraId="6712A43A" w14:textId="77777777" w:rsidTr="003900E0">
        <w:tc>
          <w:tcPr>
            <w:tcW w:w="1220" w:type="dxa"/>
          </w:tcPr>
          <w:p w14:paraId="6CD01937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32</w:t>
            </w:r>
          </w:p>
        </w:tc>
        <w:tc>
          <w:tcPr>
            <w:tcW w:w="1884" w:type="dxa"/>
            <w:vMerge/>
          </w:tcPr>
          <w:p w14:paraId="06643E0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EAD684A" w14:textId="77777777" w:rsidR="003900E0" w:rsidRPr="00A72DED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  <w:r w:rsidRPr="00EB42E8">
              <w:rPr>
                <w:rFonts w:asciiTheme="minorHAnsi" w:eastAsia="CenturyGothic,Italic" w:hAnsiTheme="minorHAnsi" w:cstheme="minorHAnsi"/>
                <w:lang w:val="en-US"/>
              </w:rPr>
              <w:t>Obsługa Rapid Spanning Tree (802.1w) i Multiple Spanning Tree (802.1s)</w:t>
            </w:r>
          </w:p>
        </w:tc>
        <w:tc>
          <w:tcPr>
            <w:tcW w:w="2147" w:type="dxa"/>
          </w:tcPr>
          <w:p w14:paraId="6D86CA7A" w14:textId="77777777" w:rsidR="003900E0" w:rsidRPr="00A72DED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</w:p>
        </w:tc>
      </w:tr>
      <w:tr w:rsidR="003900E0" w14:paraId="31051E4A" w14:textId="77777777" w:rsidTr="003900E0">
        <w:tc>
          <w:tcPr>
            <w:tcW w:w="1220" w:type="dxa"/>
          </w:tcPr>
          <w:p w14:paraId="5133334A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33</w:t>
            </w:r>
          </w:p>
        </w:tc>
        <w:tc>
          <w:tcPr>
            <w:tcW w:w="1884" w:type="dxa"/>
            <w:vMerge/>
          </w:tcPr>
          <w:p w14:paraId="34437F2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C71591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Secure FTP lub SCP</w:t>
            </w:r>
          </w:p>
        </w:tc>
        <w:tc>
          <w:tcPr>
            <w:tcW w:w="2147" w:type="dxa"/>
          </w:tcPr>
          <w:p w14:paraId="4373154E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2BBB05C2" w14:textId="77777777" w:rsidTr="003900E0">
        <w:tc>
          <w:tcPr>
            <w:tcW w:w="1220" w:type="dxa"/>
          </w:tcPr>
          <w:p w14:paraId="2C67C54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34</w:t>
            </w:r>
          </w:p>
        </w:tc>
        <w:tc>
          <w:tcPr>
            <w:tcW w:w="1884" w:type="dxa"/>
            <w:vMerge/>
          </w:tcPr>
          <w:p w14:paraId="2407870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FD3589A" w14:textId="77777777" w:rsidR="003900E0" w:rsidRPr="003E1953" w:rsidRDefault="003900E0" w:rsidP="00966EFA">
            <w:pPr>
              <w:tabs>
                <w:tab w:val="left" w:pos="975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łączy agregowanych zgodnie ze standardem 802.3ad Link Aggregation Protocol (LACP)</w:t>
            </w:r>
          </w:p>
        </w:tc>
        <w:tc>
          <w:tcPr>
            <w:tcW w:w="2147" w:type="dxa"/>
          </w:tcPr>
          <w:p w14:paraId="79FAF5F7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643798F9" w14:textId="77777777" w:rsidTr="003900E0">
        <w:tc>
          <w:tcPr>
            <w:tcW w:w="1220" w:type="dxa"/>
          </w:tcPr>
          <w:p w14:paraId="40D8B539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35</w:t>
            </w:r>
          </w:p>
        </w:tc>
        <w:tc>
          <w:tcPr>
            <w:tcW w:w="1884" w:type="dxa"/>
            <w:vMerge/>
          </w:tcPr>
          <w:p w14:paraId="54AD2C10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2805248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SNTPv4 lub NTP</w:t>
            </w:r>
          </w:p>
        </w:tc>
        <w:tc>
          <w:tcPr>
            <w:tcW w:w="2147" w:type="dxa"/>
          </w:tcPr>
          <w:p w14:paraId="5FE16048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:rsidRPr="00E069C5" w14:paraId="0FDB99E3" w14:textId="77777777" w:rsidTr="003900E0">
        <w:tc>
          <w:tcPr>
            <w:tcW w:w="1220" w:type="dxa"/>
          </w:tcPr>
          <w:p w14:paraId="43F47B19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36</w:t>
            </w:r>
          </w:p>
        </w:tc>
        <w:tc>
          <w:tcPr>
            <w:tcW w:w="1884" w:type="dxa"/>
            <w:vMerge/>
          </w:tcPr>
          <w:p w14:paraId="1523447A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506C05C" w14:textId="77777777" w:rsidR="003900E0" w:rsidRPr="00A72DED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  <w:r w:rsidRPr="004B1B8E">
              <w:rPr>
                <w:rFonts w:asciiTheme="minorHAnsi" w:eastAsia="CenturyGothic,Italic" w:hAnsiTheme="minorHAnsi" w:cstheme="minorHAnsi"/>
                <w:lang w:val="en-US"/>
              </w:rPr>
              <w:t>Wsparcie dla IPv6 (IPv6 host, dual stack, MLD snooping, ND snooping)</w:t>
            </w:r>
          </w:p>
        </w:tc>
        <w:tc>
          <w:tcPr>
            <w:tcW w:w="2147" w:type="dxa"/>
          </w:tcPr>
          <w:p w14:paraId="6F0E3A33" w14:textId="77777777" w:rsidR="003900E0" w:rsidRPr="00A72DED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</w:p>
        </w:tc>
      </w:tr>
      <w:tr w:rsidR="003900E0" w14:paraId="1C1357AB" w14:textId="77777777" w:rsidTr="003900E0">
        <w:tc>
          <w:tcPr>
            <w:tcW w:w="1220" w:type="dxa"/>
          </w:tcPr>
          <w:p w14:paraId="76AB478B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37</w:t>
            </w:r>
          </w:p>
        </w:tc>
        <w:tc>
          <w:tcPr>
            <w:tcW w:w="1884" w:type="dxa"/>
            <w:vMerge/>
          </w:tcPr>
          <w:p w14:paraId="23E49489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3231B1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 xml:space="preserve">Obsługa protokołów rutingu: ruting statyczny, OSPF, OSPFv3 </w:t>
            </w:r>
          </w:p>
        </w:tc>
        <w:tc>
          <w:tcPr>
            <w:tcW w:w="2147" w:type="dxa"/>
          </w:tcPr>
          <w:p w14:paraId="44D43573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01DAD60C" w14:textId="77777777" w:rsidTr="003900E0">
        <w:tc>
          <w:tcPr>
            <w:tcW w:w="1220" w:type="dxa"/>
          </w:tcPr>
          <w:p w14:paraId="2D16FB4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38</w:t>
            </w:r>
          </w:p>
        </w:tc>
        <w:tc>
          <w:tcPr>
            <w:tcW w:w="1884" w:type="dxa"/>
            <w:vMerge/>
          </w:tcPr>
          <w:p w14:paraId="65B1FF65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89FBF8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ruchu multicast: IGMPv1/v2/v3 (co najmniej 1000 grup), MLD (co najmniej 1000 grup)</w:t>
            </w:r>
          </w:p>
        </w:tc>
        <w:tc>
          <w:tcPr>
            <w:tcW w:w="2147" w:type="dxa"/>
          </w:tcPr>
          <w:p w14:paraId="23835EDC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:rsidRPr="00E069C5" w14:paraId="473FE911" w14:textId="77777777" w:rsidTr="003900E0">
        <w:tc>
          <w:tcPr>
            <w:tcW w:w="1220" w:type="dxa"/>
          </w:tcPr>
          <w:p w14:paraId="43523FB5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39</w:t>
            </w:r>
          </w:p>
        </w:tc>
        <w:tc>
          <w:tcPr>
            <w:tcW w:w="1884" w:type="dxa"/>
            <w:vMerge/>
          </w:tcPr>
          <w:p w14:paraId="4562E92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E98862A" w14:textId="77777777" w:rsidR="003900E0" w:rsidRPr="00A72DED" w:rsidRDefault="003900E0" w:rsidP="00966EFA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  <w:r w:rsidRPr="00EB42E8">
              <w:rPr>
                <w:rFonts w:asciiTheme="minorHAnsi" w:eastAsia="CenturyGothic,Italic" w:hAnsiTheme="minorHAnsi" w:cstheme="minorHAnsi"/>
                <w:lang w:val="en-US"/>
              </w:rPr>
              <w:t>Obsługa IEEE 802.1AB Link Layer Discovery Protocol (LLDP) i LLDP Media Endpoint Discovery (LLDP-MED)</w:t>
            </w:r>
          </w:p>
        </w:tc>
        <w:tc>
          <w:tcPr>
            <w:tcW w:w="2147" w:type="dxa"/>
          </w:tcPr>
          <w:p w14:paraId="3C5FEE26" w14:textId="77777777" w:rsidR="003900E0" w:rsidRPr="00A72DED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</w:p>
        </w:tc>
      </w:tr>
      <w:tr w:rsidR="003900E0" w14:paraId="03395757" w14:textId="77777777" w:rsidTr="003900E0">
        <w:trPr>
          <w:trHeight w:val="70"/>
        </w:trPr>
        <w:tc>
          <w:tcPr>
            <w:tcW w:w="1220" w:type="dxa"/>
          </w:tcPr>
          <w:p w14:paraId="79DD1307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40</w:t>
            </w:r>
          </w:p>
        </w:tc>
        <w:tc>
          <w:tcPr>
            <w:tcW w:w="1884" w:type="dxa"/>
            <w:vMerge/>
          </w:tcPr>
          <w:p w14:paraId="312FFC4A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8EE6965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Automatyczna konfiguracja VLAN dla urządzeń VoIP oparta co najmniej o: RADIUS VLAN (użycie atrybutów RADIUS i mechanizmu LLDP-MED)</w:t>
            </w:r>
          </w:p>
        </w:tc>
        <w:tc>
          <w:tcPr>
            <w:tcW w:w="2147" w:type="dxa"/>
          </w:tcPr>
          <w:p w14:paraId="0D4DF840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142235DC" w14:textId="77777777" w:rsidTr="003900E0">
        <w:tc>
          <w:tcPr>
            <w:tcW w:w="1220" w:type="dxa"/>
          </w:tcPr>
          <w:p w14:paraId="49D85EE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41</w:t>
            </w:r>
          </w:p>
        </w:tc>
        <w:tc>
          <w:tcPr>
            <w:tcW w:w="1884" w:type="dxa"/>
            <w:vMerge/>
            <w:vAlign w:val="center"/>
          </w:tcPr>
          <w:p w14:paraId="0CBD838A" w14:textId="2394354E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D6BF16A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Mechanizmy związane z zapewnieniem jakości usług w sieci: prioryteryzacja zgodna z 802.1p, ToS, TCP/UDP, DiffServ, wsparcie dla 8 kolejek sprzętowych, rate-limiting</w:t>
            </w:r>
          </w:p>
        </w:tc>
        <w:tc>
          <w:tcPr>
            <w:tcW w:w="2147" w:type="dxa"/>
          </w:tcPr>
          <w:p w14:paraId="111956C3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67E94779" w14:textId="77777777" w:rsidTr="003900E0">
        <w:tc>
          <w:tcPr>
            <w:tcW w:w="1220" w:type="dxa"/>
          </w:tcPr>
          <w:p w14:paraId="7F78E32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42</w:t>
            </w:r>
          </w:p>
        </w:tc>
        <w:tc>
          <w:tcPr>
            <w:tcW w:w="1884" w:type="dxa"/>
            <w:vMerge/>
          </w:tcPr>
          <w:p w14:paraId="5BB046A2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492967C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 xml:space="preserve">Obsługa uwierzytelniania użytkowników zgodna z 802.1x </w:t>
            </w:r>
          </w:p>
        </w:tc>
        <w:tc>
          <w:tcPr>
            <w:tcW w:w="2147" w:type="dxa"/>
          </w:tcPr>
          <w:p w14:paraId="56A3E086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7A2E84FD" w14:textId="77777777" w:rsidTr="003900E0">
        <w:tc>
          <w:tcPr>
            <w:tcW w:w="1220" w:type="dxa"/>
          </w:tcPr>
          <w:p w14:paraId="7B67E22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43</w:t>
            </w:r>
          </w:p>
        </w:tc>
        <w:tc>
          <w:tcPr>
            <w:tcW w:w="1884" w:type="dxa"/>
            <w:vMerge/>
          </w:tcPr>
          <w:p w14:paraId="5B5B829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0AD3936" w14:textId="77777777" w:rsidR="003900E0" w:rsidRPr="00EB42E8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uwierzytelniania użytkowników w oparciu o adres MAC i serwer RADIUS</w:t>
            </w:r>
          </w:p>
          <w:p w14:paraId="7078B77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62232AD1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1E008875" w14:textId="77777777" w:rsidTr="003900E0">
        <w:tc>
          <w:tcPr>
            <w:tcW w:w="1220" w:type="dxa"/>
          </w:tcPr>
          <w:p w14:paraId="65B0E1C8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44</w:t>
            </w:r>
          </w:p>
        </w:tc>
        <w:tc>
          <w:tcPr>
            <w:tcW w:w="1884" w:type="dxa"/>
            <w:vMerge/>
          </w:tcPr>
          <w:p w14:paraId="4DD2A9D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5CB9F4A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uwierzytelniania użytkowników w oparciu o stronę WWW z użyciem zewnętrznego serwera</w:t>
            </w:r>
          </w:p>
        </w:tc>
        <w:tc>
          <w:tcPr>
            <w:tcW w:w="2147" w:type="dxa"/>
          </w:tcPr>
          <w:p w14:paraId="0FAA941B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4C6D2421" w14:textId="77777777" w:rsidTr="003900E0">
        <w:tc>
          <w:tcPr>
            <w:tcW w:w="1220" w:type="dxa"/>
          </w:tcPr>
          <w:p w14:paraId="157FB045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45</w:t>
            </w:r>
          </w:p>
        </w:tc>
        <w:tc>
          <w:tcPr>
            <w:tcW w:w="1884" w:type="dxa"/>
            <w:vMerge/>
          </w:tcPr>
          <w:p w14:paraId="5E9A10A5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77D720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uwierzytelniania wielu użytkowników na tym samym porcie w tym samym czasie</w:t>
            </w:r>
          </w:p>
        </w:tc>
        <w:tc>
          <w:tcPr>
            <w:tcW w:w="2147" w:type="dxa"/>
          </w:tcPr>
          <w:p w14:paraId="028BE8C3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4F2A9A73" w14:textId="77777777" w:rsidTr="003900E0">
        <w:tc>
          <w:tcPr>
            <w:tcW w:w="1220" w:type="dxa"/>
          </w:tcPr>
          <w:p w14:paraId="120FF50A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46</w:t>
            </w:r>
          </w:p>
        </w:tc>
        <w:tc>
          <w:tcPr>
            <w:tcW w:w="1884" w:type="dxa"/>
            <w:vMerge/>
          </w:tcPr>
          <w:p w14:paraId="09382C18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B0055A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autoryzacji logowania do urządzenia za pomocą serwerów RADIUS albo TACACS+</w:t>
            </w:r>
          </w:p>
        </w:tc>
        <w:tc>
          <w:tcPr>
            <w:tcW w:w="2147" w:type="dxa"/>
          </w:tcPr>
          <w:p w14:paraId="66E3E08E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7948DD67" w14:textId="77777777" w:rsidTr="003900E0">
        <w:tc>
          <w:tcPr>
            <w:tcW w:w="1220" w:type="dxa"/>
          </w:tcPr>
          <w:p w14:paraId="3074191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47</w:t>
            </w:r>
          </w:p>
        </w:tc>
        <w:tc>
          <w:tcPr>
            <w:tcW w:w="1884" w:type="dxa"/>
            <w:vMerge/>
          </w:tcPr>
          <w:p w14:paraId="70F2CBE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D868E7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autoryzacji komend wydawanych do urządzenia za pomocą serwerów RADIUS albo TACACS+</w:t>
            </w:r>
          </w:p>
        </w:tc>
        <w:tc>
          <w:tcPr>
            <w:tcW w:w="2147" w:type="dxa"/>
          </w:tcPr>
          <w:p w14:paraId="1E13D115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7E5F31FE" w14:textId="77777777" w:rsidTr="003900E0">
        <w:tc>
          <w:tcPr>
            <w:tcW w:w="1220" w:type="dxa"/>
          </w:tcPr>
          <w:p w14:paraId="7B62C342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48</w:t>
            </w:r>
          </w:p>
        </w:tc>
        <w:tc>
          <w:tcPr>
            <w:tcW w:w="1884" w:type="dxa"/>
            <w:vMerge/>
          </w:tcPr>
          <w:p w14:paraId="16E9AB2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D57812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Wbudowany serwer DHCP</w:t>
            </w:r>
          </w:p>
        </w:tc>
        <w:tc>
          <w:tcPr>
            <w:tcW w:w="2147" w:type="dxa"/>
          </w:tcPr>
          <w:p w14:paraId="4101D543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25F680F3" w14:textId="77777777" w:rsidTr="003900E0">
        <w:tc>
          <w:tcPr>
            <w:tcW w:w="1220" w:type="dxa"/>
          </w:tcPr>
          <w:p w14:paraId="250DE87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49</w:t>
            </w:r>
          </w:p>
        </w:tc>
        <w:tc>
          <w:tcPr>
            <w:tcW w:w="1884" w:type="dxa"/>
            <w:vMerge/>
          </w:tcPr>
          <w:p w14:paraId="219CF022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CB5115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blokowania nieautoryzowanych serwerów DHCP</w:t>
            </w:r>
          </w:p>
        </w:tc>
        <w:tc>
          <w:tcPr>
            <w:tcW w:w="2147" w:type="dxa"/>
          </w:tcPr>
          <w:p w14:paraId="6966C092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6F9EF282" w14:textId="77777777" w:rsidTr="003900E0">
        <w:tc>
          <w:tcPr>
            <w:tcW w:w="1220" w:type="dxa"/>
          </w:tcPr>
          <w:p w14:paraId="7CBDB0E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50</w:t>
            </w:r>
          </w:p>
        </w:tc>
        <w:tc>
          <w:tcPr>
            <w:tcW w:w="1884" w:type="dxa"/>
            <w:vMerge/>
          </w:tcPr>
          <w:p w14:paraId="1439A5A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295CA93" w14:textId="77777777" w:rsidR="003900E0" w:rsidRPr="003E1953" w:rsidRDefault="003900E0" w:rsidP="00966EFA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mechanizmu wykrywania łączy jednokierunkowych typu Device Link Detection Protocol (DLDP), Uni-Directional Link Detection (UDLD), lub równoważnego</w:t>
            </w:r>
          </w:p>
        </w:tc>
        <w:tc>
          <w:tcPr>
            <w:tcW w:w="2147" w:type="dxa"/>
          </w:tcPr>
          <w:p w14:paraId="47890C05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25845DF4" w14:textId="77777777" w:rsidTr="003900E0">
        <w:tc>
          <w:tcPr>
            <w:tcW w:w="1220" w:type="dxa"/>
          </w:tcPr>
          <w:p w14:paraId="3FCA5C2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51</w:t>
            </w:r>
          </w:p>
        </w:tc>
        <w:tc>
          <w:tcPr>
            <w:tcW w:w="1884" w:type="dxa"/>
            <w:vMerge/>
          </w:tcPr>
          <w:p w14:paraId="513D8EB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199FBAB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Ochrona przed rekonfiguracją struktury topologii Spanning Tree (BPDU port protection)</w:t>
            </w:r>
          </w:p>
        </w:tc>
        <w:tc>
          <w:tcPr>
            <w:tcW w:w="2147" w:type="dxa"/>
          </w:tcPr>
          <w:p w14:paraId="4B58B77F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264B063C" w14:textId="77777777" w:rsidTr="003900E0">
        <w:tc>
          <w:tcPr>
            <w:tcW w:w="1220" w:type="dxa"/>
          </w:tcPr>
          <w:p w14:paraId="621512C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52</w:t>
            </w:r>
          </w:p>
        </w:tc>
        <w:tc>
          <w:tcPr>
            <w:tcW w:w="1884" w:type="dxa"/>
            <w:vMerge/>
          </w:tcPr>
          <w:p w14:paraId="5D7F7FBD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F546F1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Obsługa list kontroli dostępu (ACL) bazujących na porcie lub na VLAN z uwzględnieniem adresów, MAC, IP i portów TCP/UDP. Co najmniej 1000 wpisów typu ingress i 512 wpisów typu egress dla IPv4 i MAC</w:t>
            </w:r>
          </w:p>
        </w:tc>
        <w:tc>
          <w:tcPr>
            <w:tcW w:w="2147" w:type="dxa"/>
          </w:tcPr>
          <w:p w14:paraId="6537BC98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4C3A4074" w14:textId="77777777" w:rsidTr="003900E0">
        <w:trPr>
          <w:trHeight w:val="908"/>
        </w:trPr>
        <w:tc>
          <w:tcPr>
            <w:tcW w:w="1220" w:type="dxa"/>
          </w:tcPr>
          <w:p w14:paraId="273AFEAB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53</w:t>
            </w:r>
          </w:p>
        </w:tc>
        <w:tc>
          <w:tcPr>
            <w:tcW w:w="1884" w:type="dxa"/>
            <w:vMerge/>
          </w:tcPr>
          <w:p w14:paraId="1D48BBEB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A5DD907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Wbudowana sonda IP SLA</w:t>
            </w:r>
          </w:p>
        </w:tc>
        <w:tc>
          <w:tcPr>
            <w:tcW w:w="2147" w:type="dxa"/>
          </w:tcPr>
          <w:p w14:paraId="4D5B8CED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1DB09534" w14:textId="77777777" w:rsidTr="003900E0">
        <w:trPr>
          <w:trHeight w:val="850"/>
        </w:trPr>
        <w:tc>
          <w:tcPr>
            <w:tcW w:w="1220" w:type="dxa"/>
          </w:tcPr>
          <w:p w14:paraId="71C7929B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54</w:t>
            </w:r>
          </w:p>
        </w:tc>
        <w:tc>
          <w:tcPr>
            <w:tcW w:w="1884" w:type="dxa"/>
            <w:vMerge/>
          </w:tcPr>
          <w:p w14:paraId="105036CD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0531EED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Zakres pracy od 0 do 45°C</w:t>
            </w:r>
          </w:p>
        </w:tc>
        <w:tc>
          <w:tcPr>
            <w:tcW w:w="2147" w:type="dxa"/>
          </w:tcPr>
          <w:p w14:paraId="3FD65CBD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3F43A3A0" w14:textId="77777777" w:rsidTr="003900E0">
        <w:tc>
          <w:tcPr>
            <w:tcW w:w="1220" w:type="dxa"/>
          </w:tcPr>
          <w:p w14:paraId="1A58BDDD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55</w:t>
            </w:r>
          </w:p>
        </w:tc>
        <w:tc>
          <w:tcPr>
            <w:tcW w:w="1884" w:type="dxa"/>
            <w:vMerge w:val="restart"/>
            <w:vAlign w:val="center"/>
          </w:tcPr>
          <w:p w14:paraId="5978962F" w14:textId="3914A725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Przełączniki dostępowe 24 portowe</w:t>
            </w:r>
          </w:p>
        </w:tc>
        <w:tc>
          <w:tcPr>
            <w:tcW w:w="3811" w:type="dxa"/>
          </w:tcPr>
          <w:p w14:paraId="02266D2F" w14:textId="77777777" w:rsidR="003900E0" w:rsidRPr="003E1953" w:rsidRDefault="003900E0" w:rsidP="00966EFA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EB42E8">
              <w:rPr>
                <w:rFonts w:asciiTheme="minorHAnsi" w:eastAsia="CenturyGothic,Italic" w:hAnsiTheme="minorHAnsi" w:cstheme="minorHAnsi"/>
              </w:rPr>
              <w:t>Przełącznik w obudowie 19”. Maksymalna wysokość obudowy 1U, maksymalna głębokość obudowy 40 cm.</w:t>
            </w:r>
          </w:p>
        </w:tc>
        <w:tc>
          <w:tcPr>
            <w:tcW w:w="2147" w:type="dxa"/>
          </w:tcPr>
          <w:p w14:paraId="17374AF7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6CE25158" w14:textId="77777777" w:rsidTr="003900E0">
        <w:tc>
          <w:tcPr>
            <w:tcW w:w="1220" w:type="dxa"/>
          </w:tcPr>
          <w:p w14:paraId="20E8FCF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>
              <w:rPr>
                <w:rFonts w:asciiTheme="minorHAnsi" w:eastAsia="CenturyGothic,Italic" w:hAnsiTheme="minorHAnsi" w:cstheme="minorHAnsi"/>
              </w:rPr>
              <w:t xml:space="preserve">56 </w:t>
            </w:r>
          </w:p>
        </w:tc>
        <w:tc>
          <w:tcPr>
            <w:tcW w:w="1884" w:type="dxa"/>
            <w:vMerge/>
            <w:vAlign w:val="center"/>
          </w:tcPr>
          <w:p w14:paraId="253CEF97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DC02A41" w14:textId="77777777" w:rsidR="003900E0" w:rsidRPr="00EB42E8" w:rsidRDefault="003900E0" w:rsidP="00966EFA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>
              <w:rPr>
                <w:rFonts w:asciiTheme="minorHAnsi" w:eastAsia="CenturyGothic,Italic" w:hAnsiTheme="minorHAnsi" w:cstheme="minorHAnsi"/>
              </w:rPr>
              <w:t xml:space="preserve">Wszystkie dostępne na przełączniku funkcje dostępne przez cały okres użytkowania </w:t>
            </w:r>
            <w:r w:rsidRPr="00EB42E8">
              <w:rPr>
                <w:rFonts w:asciiTheme="minorHAnsi" w:eastAsia="CenturyGothic,Italic" w:hAnsiTheme="minorHAnsi" w:cstheme="minorHAnsi"/>
              </w:rPr>
              <w:t>(permanentne)</w:t>
            </w:r>
          </w:p>
        </w:tc>
        <w:tc>
          <w:tcPr>
            <w:tcW w:w="2147" w:type="dxa"/>
          </w:tcPr>
          <w:p w14:paraId="4021D482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1064A96" w14:textId="77777777" w:rsidTr="003900E0">
        <w:tc>
          <w:tcPr>
            <w:tcW w:w="1220" w:type="dxa"/>
          </w:tcPr>
          <w:p w14:paraId="4157A02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</w:t>
            </w:r>
          </w:p>
        </w:tc>
        <w:tc>
          <w:tcPr>
            <w:tcW w:w="1884" w:type="dxa"/>
            <w:vMerge w:val="restart"/>
            <w:vAlign w:val="center"/>
          </w:tcPr>
          <w:p w14:paraId="59A86D8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 xml:space="preserve">Przełączniki dostępowe 48 portowe </w:t>
            </w:r>
          </w:p>
        </w:tc>
        <w:tc>
          <w:tcPr>
            <w:tcW w:w="3811" w:type="dxa"/>
          </w:tcPr>
          <w:p w14:paraId="2D7FDBE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C91F60">
              <w:rPr>
                <w:rFonts w:asciiTheme="minorHAnsi" w:eastAsia="CenturyGothic,Italic" w:hAnsiTheme="minorHAnsi" w:cstheme="minorHAnsi"/>
              </w:rPr>
              <w:t>Minimum 48 portów 10/100/1000BASE-T z wsparciem dla standardów PoE (standardy 802.3af i 802.3at), umieszczone z przodu obudowy</w:t>
            </w:r>
          </w:p>
        </w:tc>
        <w:tc>
          <w:tcPr>
            <w:tcW w:w="2147" w:type="dxa"/>
          </w:tcPr>
          <w:p w14:paraId="1D249F77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3BD3EBD8" w14:textId="77777777" w:rsidTr="003900E0">
        <w:tc>
          <w:tcPr>
            <w:tcW w:w="1220" w:type="dxa"/>
          </w:tcPr>
          <w:p w14:paraId="0968125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</w:t>
            </w:r>
          </w:p>
        </w:tc>
        <w:tc>
          <w:tcPr>
            <w:tcW w:w="1884" w:type="dxa"/>
            <w:vMerge/>
          </w:tcPr>
          <w:p w14:paraId="78956AA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7286B1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C91F60">
              <w:rPr>
                <w:rFonts w:asciiTheme="minorHAnsi" w:eastAsia="CenturyGothic,Italic" w:hAnsiTheme="minorHAnsi" w:cstheme="minorHAnsi"/>
              </w:rPr>
              <w:t>Minimum 4 porty 1/10-gigabitowe SFP+ ze wsparciem standardu 10GBaseLRM umieszczone z przodu obudowy, minimum 2 z nich muszą wspierać standard MACsec</w:t>
            </w:r>
          </w:p>
        </w:tc>
        <w:tc>
          <w:tcPr>
            <w:tcW w:w="2147" w:type="dxa"/>
          </w:tcPr>
          <w:p w14:paraId="04A15203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7A29001" w14:textId="77777777" w:rsidTr="003900E0">
        <w:trPr>
          <w:trHeight w:val="713"/>
        </w:trPr>
        <w:tc>
          <w:tcPr>
            <w:tcW w:w="1220" w:type="dxa"/>
          </w:tcPr>
          <w:p w14:paraId="4C0BA47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</w:t>
            </w:r>
          </w:p>
        </w:tc>
        <w:tc>
          <w:tcPr>
            <w:tcW w:w="1884" w:type="dxa"/>
            <w:vMerge/>
          </w:tcPr>
          <w:p w14:paraId="75B26C9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8FD79A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C91F60">
              <w:rPr>
                <w:rFonts w:asciiTheme="minorHAnsi" w:eastAsia="CenturyGothic,Italic" w:hAnsiTheme="minorHAnsi" w:cstheme="minorHAnsi"/>
              </w:rPr>
              <w:t xml:space="preserve">Przepustowość: minimum 176 Gb/s (pełna prędkość, tzw. wire-speed, na wszystkich portach przełącznika) </w:t>
            </w:r>
          </w:p>
        </w:tc>
        <w:tc>
          <w:tcPr>
            <w:tcW w:w="2147" w:type="dxa"/>
          </w:tcPr>
          <w:p w14:paraId="0F310BE9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6747213" w14:textId="77777777" w:rsidTr="003900E0">
        <w:tc>
          <w:tcPr>
            <w:tcW w:w="1220" w:type="dxa"/>
          </w:tcPr>
          <w:p w14:paraId="627B769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</w:t>
            </w:r>
          </w:p>
        </w:tc>
        <w:tc>
          <w:tcPr>
            <w:tcW w:w="1884" w:type="dxa"/>
            <w:vMerge/>
          </w:tcPr>
          <w:p w14:paraId="35806A5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A7CB1B9" w14:textId="77777777" w:rsidR="000A0437" w:rsidRPr="003E1953" w:rsidRDefault="000A0437" w:rsidP="00966EFA">
            <w:pPr>
              <w:tabs>
                <w:tab w:val="left" w:pos="303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C91F60">
              <w:rPr>
                <w:rFonts w:asciiTheme="minorHAnsi" w:eastAsia="CenturyGothic,Italic" w:hAnsiTheme="minorHAnsi" w:cstheme="minorHAnsi"/>
              </w:rPr>
              <w:t>Wydajność: minimum 130 Mp/s</w:t>
            </w:r>
          </w:p>
        </w:tc>
        <w:tc>
          <w:tcPr>
            <w:tcW w:w="2147" w:type="dxa"/>
          </w:tcPr>
          <w:p w14:paraId="3CBAD46F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0C8517A" w14:textId="77777777" w:rsidTr="003900E0">
        <w:tc>
          <w:tcPr>
            <w:tcW w:w="1220" w:type="dxa"/>
          </w:tcPr>
          <w:p w14:paraId="1C49353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</w:t>
            </w:r>
          </w:p>
        </w:tc>
        <w:tc>
          <w:tcPr>
            <w:tcW w:w="1884" w:type="dxa"/>
            <w:vMerge/>
          </w:tcPr>
          <w:p w14:paraId="3F8C6C6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927A64E" w14:textId="77777777" w:rsidR="000A0437" w:rsidRPr="003E1953" w:rsidRDefault="000A0437" w:rsidP="00966EFA">
            <w:pPr>
              <w:tabs>
                <w:tab w:val="left" w:pos="123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A90DC9">
              <w:rPr>
                <w:rFonts w:asciiTheme="minorHAnsi" w:eastAsia="CenturyGothic,Italic" w:hAnsiTheme="minorHAnsi" w:cstheme="minorHAnsi"/>
              </w:rPr>
              <w:t>Bufor pakietów: minimum 6 MB</w:t>
            </w:r>
          </w:p>
        </w:tc>
        <w:tc>
          <w:tcPr>
            <w:tcW w:w="2147" w:type="dxa"/>
          </w:tcPr>
          <w:p w14:paraId="5123AD9D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524F1FC6" w14:textId="77777777" w:rsidTr="003900E0">
        <w:tc>
          <w:tcPr>
            <w:tcW w:w="1220" w:type="dxa"/>
          </w:tcPr>
          <w:p w14:paraId="7FEA8F4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6</w:t>
            </w:r>
          </w:p>
        </w:tc>
        <w:tc>
          <w:tcPr>
            <w:tcW w:w="1884" w:type="dxa"/>
            <w:vMerge/>
          </w:tcPr>
          <w:p w14:paraId="6488A94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9D40CD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Minimum 8GB pamięci operacyjnej</w:t>
            </w:r>
          </w:p>
          <w:p w14:paraId="06FDAFC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4D4E5CE8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177D7F8A" w14:textId="77777777" w:rsidTr="003900E0">
        <w:tc>
          <w:tcPr>
            <w:tcW w:w="1220" w:type="dxa"/>
          </w:tcPr>
          <w:p w14:paraId="4082D38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lastRenderedPageBreak/>
              <w:t>7</w:t>
            </w:r>
          </w:p>
        </w:tc>
        <w:tc>
          <w:tcPr>
            <w:tcW w:w="1884" w:type="dxa"/>
            <w:vMerge/>
          </w:tcPr>
          <w:p w14:paraId="75FAEC9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365430C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A90DC9">
              <w:rPr>
                <w:rFonts w:asciiTheme="minorHAnsi" w:eastAsia="CenturyGothic,Italic" w:hAnsiTheme="minorHAnsi" w:cstheme="minorHAnsi"/>
              </w:rPr>
              <w:t>Minimum 15GB wewnętrznej pamięci nieulotnej typu Flash (CF, SSD, SD, eUSB, SPI Flash)</w:t>
            </w:r>
          </w:p>
        </w:tc>
        <w:tc>
          <w:tcPr>
            <w:tcW w:w="2147" w:type="dxa"/>
          </w:tcPr>
          <w:p w14:paraId="56E12CB8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0D1E197C" w14:textId="77777777" w:rsidTr="003900E0">
        <w:tc>
          <w:tcPr>
            <w:tcW w:w="1220" w:type="dxa"/>
          </w:tcPr>
          <w:p w14:paraId="44928BC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8</w:t>
            </w:r>
          </w:p>
        </w:tc>
        <w:tc>
          <w:tcPr>
            <w:tcW w:w="1884" w:type="dxa"/>
            <w:vMerge/>
          </w:tcPr>
          <w:p w14:paraId="450A19E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F918CD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A90DC9">
              <w:rPr>
                <w:rFonts w:asciiTheme="minorHAnsi" w:eastAsia="CenturyGothic,Italic" w:hAnsiTheme="minorHAnsi" w:cstheme="minorHAnsi"/>
              </w:rPr>
              <w:t>Dedykowany port do zarządzania poza pasmowego (Ethernet, RJ-45), w pełni niezależny od portów liniowych</w:t>
            </w:r>
          </w:p>
        </w:tc>
        <w:tc>
          <w:tcPr>
            <w:tcW w:w="2147" w:type="dxa"/>
          </w:tcPr>
          <w:p w14:paraId="7DD5C61C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4CE36651" w14:textId="77777777" w:rsidTr="003900E0">
        <w:tc>
          <w:tcPr>
            <w:tcW w:w="1220" w:type="dxa"/>
          </w:tcPr>
          <w:p w14:paraId="56C4608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9</w:t>
            </w:r>
          </w:p>
        </w:tc>
        <w:tc>
          <w:tcPr>
            <w:tcW w:w="1884" w:type="dxa"/>
            <w:vMerge/>
          </w:tcPr>
          <w:p w14:paraId="46B7AA2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F0874B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Dedykowany port konsoli USB</w:t>
            </w:r>
          </w:p>
          <w:p w14:paraId="52724754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052739DC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44BF9E69" w14:textId="77777777" w:rsidTr="003900E0">
        <w:tc>
          <w:tcPr>
            <w:tcW w:w="1220" w:type="dxa"/>
          </w:tcPr>
          <w:p w14:paraId="4AD9108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10</w:t>
            </w:r>
          </w:p>
        </w:tc>
        <w:tc>
          <w:tcPr>
            <w:tcW w:w="1884" w:type="dxa"/>
            <w:vMerge/>
          </w:tcPr>
          <w:p w14:paraId="045B385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3A8C8D9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Port USB 2.0 (niezależny od portu konsoli USB)</w:t>
            </w:r>
          </w:p>
          <w:p w14:paraId="3D21821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4989C10B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19C4CC29" w14:textId="77777777" w:rsidTr="003900E0">
        <w:tc>
          <w:tcPr>
            <w:tcW w:w="1220" w:type="dxa"/>
          </w:tcPr>
          <w:p w14:paraId="062CECB4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11</w:t>
            </w:r>
          </w:p>
        </w:tc>
        <w:tc>
          <w:tcPr>
            <w:tcW w:w="1884" w:type="dxa"/>
            <w:vMerge/>
          </w:tcPr>
          <w:p w14:paraId="04815E9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217100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A90DC9">
              <w:rPr>
                <w:rFonts w:asciiTheme="minorHAnsi" w:eastAsia="CenturyGothic,Italic" w:hAnsiTheme="minorHAnsi" w:cstheme="minorHAnsi"/>
              </w:rPr>
              <w:t>Interfejs Bluetooth (dopuszcza się rozwiązanie w postaci adaptera Bluetooth, podłączanego do portu USB przełącznika, przy czym adapter musi pochodzić od tego samego producenta co przełącznik, nie musi być zaoferowany na tym etapie)</w:t>
            </w:r>
          </w:p>
        </w:tc>
        <w:tc>
          <w:tcPr>
            <w:tcW w:w="2147" w:type="dxa"/>
          </w:tcPr>
          <w:p w14:paraId="79CF1E28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4803C4FA" w14:textId="77777777" w:rsidTr="003900E0">
        <w:trPr>
          <w:trHeight w:val="70"/>
        </w:trPr>
        <w:tc>
          <w:tcPr>
            <w:tcW w:w="1220" w:type="dxa"/>
          </w:tcPr>
          <w:p w14:paraId="2DD8FC7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12</w:t>
            </w:r>
          </w:p>
        </w:tc>
        <w:tc>
          <w:tcPr>
            <w:tcW w:w="1884" w:type="dxa"/>
            <w:vMerge/>
          </w:tcPr>
          <w:p w14:paraId="785A243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352C3AA8" w14:textId="77777777" w:rsidR="000A0437" w:rsidRPr="00A72DED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A90DC9">
              <w:rPr>
                <w:rFonts w:asciiTheme="minorHAnsi" w:eastAsia="CenturyGothic,Italic" w:hAnsiTheme="minorHAnsi" w:cstheme="minorHAnsi"/>
              </w:rPr>
              <w:t>Przełączniki tego samego typu muszą posiadać funkcję łączenia w stos (wirtualny przełącznik) złożony z minimum 8 urządzeń. Zarządzanie stosem musi odbywać się z jednego adresu IP. Z punktu widzenia zarządzania przełączniki muszą tworzyć jedno logiczne urządzenie (nie dopuszcza się rozwiązań typu klaster). Jeżeli łączenie w stos wymaga dodatkowych modułów lub licencji to dostarczenie ich jest wymagane w ramach tego postępowania. Dostępne metody łączenia przełączników muszą umożliwiać realizację stosów na odległość co najmniej 300m</w:t>
            </w:r>
          </w:p>
        </w:tc>
        <w:tc>
          <w:tcPr>
            <w:tcW w:w="2147" w:type="dxa"/>
          </w:tcPr>
          <w:p w14:paraId="7CD30F6D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70B6EC63" w14:textId="77777777" w:rsidTr="003900E0">
        <w:tc>
          <w:tcPr>
            <w:tcW w:w="1220" w:type="dxa"/>
          </w:tcPr>
          <w:p w14:paraId="53A898B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13</w:t>
            </w:r>
          </w:p>
        </w:tc>
        <w:tc>
          <w:tcPr>
            <w:tcW w:w="1884" w:type="dxa"/>
            <w:vMerge w:val="restart"/>
            <w:vAlign w:val="center"/>
          </w:tcPr>
          <w:p w14:paraId="05F8766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 xml:space="preserve">Przełączniki dostępowe 48 portowe </w:t>
            </w:r>
          </w:p>
        </w:tc>
        <w:tc>
          <w:tcPr>
            <w:tcW w:w="3811" w:type="dxa"/>
          </w:tcPr>
          <w:p w14:paraId="27E35544" w14:textId="77777777" w:rsidR="000A0437" w:rsidRPr="00A90DC9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A90DC9">
              <w:rPr>
                <w:rFonts w:asciiTheme="minorHAnsi" w:eastAsia="CenturyGothic,Italic" w:hAnsiTheme="minorHAnsi" w:cstheme="minorHAnsi"/>
              </w:rPr>
              <w:t xml:space="preserve">Realizacja łączy agregowanych w ramach różnych przełączników będących w stosie </w:t>
            </w:r>
          </w:p>
          <w:p w14:paraId="574AD13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6C4A128F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50554BBD" w14:textId="77777777" w:rsidTr="003900E0">
        <w:tc>
          <w:tcPr>
            <w:tcW w:w="1220" w:type="dxa"/>
          </w:tcPr>
          <w:p w14:paraId="3497764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14</w:t>
            </w:r>
          </w:p>
        </w:tc>
        <w:tc>
          <w:tcPr>
            <w:tcW w:w="1884" w:type="dxa"/>
            <w:vMerge/>
          </w:tcPr>
          <w:p w14:paraId="31A1FD7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E86102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A90DC9">
              <w:rPr>
                <w:rFonts w:asciiTheme="minorHAnsi" w:eastAsia="CenturyGothic,Italic" w:hAnsiTheme="minorHAnsi" w:cstheme="minorHAnsi"/>
              </w:rPr>
              <w:t>Wewnętrzny, modularny zasilacz AC. Slot na drugi wewnętrzny i modularny zasilacz AC. Dla zapewnienia redundancji zasilania, wymieniane podczas pracy urządzenia</w:t>
            </w:r>
          </w:p>
        </w:tc>
        <w:tc>
          <w:tcPr>
            <w:tcW w:w="2147" w:type="dxa"/>
          </w:tcPr>
          <w:p w14:paraId="68278CE6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F87D466" w14:textId="77777777" w:rsidTr="003900E0">
        <w:tc>
          <w:tcPr>
            <w:tcW w:w="1220" w:type="dxa"/>
          </w:tcPr>
          <w:p w14:paraId="734778FC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15</w:t>
            </w:r>
          </w:p>
        </w:tc>
        <w:tc>
          <w:tcPr>
            <w:tcW w:w="1884" w:type="dxa"/>
            <w:vMerge/>
          </w:tcPr>
          <w:p w14:paraId="17F947E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147E8D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A90DC9">
              <w:rPr>
                <w:rFonts w:asciiTheme="minorHAnsi" w:eastAsia="CenturyGothic,Italic" w:hAnsiTheme="minorHAnsi" w:cstheme="minorHAnsi"/>
              </w:rPr>
              <w:t>Budżet mocy PoE przy zastosowaniu dwóch zasilaczy co najmniej 720W</w:t>
            </w:r>
          </w:p>
        </w:tc>
        <w:tc>
          <w:tcPr>
            <w:tcW w:w="2147" w:type="dxa"/>
          </w:tcPr>
          <w:p w14:paraId="4EBC7957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AFCF1AB" w14:textId="77777777" w:rsidTr="003900E0">
        <w:tc>
          <w:tcPr>
            <w:tcW w:w="1220" w:type="dxa"/>
          </w:tcPr>
          <w:p w14:paraId="08EC261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16</w:t>
            </w:r>
          </w:p>
        </w:tc>
        <w:tc>
          <w:tcPr>
            <w:tcW w:w="1884" w:type="dxa"/>
            <w:vMerge/>
          </w:tcPr>
          <w:p w14:paraId="667D524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0CA9AE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A90DC9">
              <w:rPr>
                <w:rFonts w:asciiTheme="minorHAnsi" w:eastAsia="CenturyGothic,Italic" w:hAnsiTheme="minorHAnsi" w:cstheme="minorHAnsi"/>
              </w:rPr>
              <w:t>Modularne, redundantne wentylatory, podzielone na co najmniej dwa niezależne moduły. Moduły wentylatorów musi mieć możliwość wymiany „na gorąco” (na działającym urządzeniu)</w:t>
            </w:r>
          </w:p>
        </w:tc>
        <w:tc>
          <w:tcPr>
            <w:tcW w:w="2147" w:type="dxa"/>
          </w:tcPr>
          <w:p w14:paraId="27A473D8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5310C42B" w14:textId="77777777" w:rsidTr="003900E0">
        <w:tc>
          <w:tcPr>
            <w:tcW w:w="1220" w:type="dxa"/>
          </w:tcPr>
          <w:p w14:paraId="04D022E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17</w:t>
            </w:r>
          </w:p>
        </w:tc>
        <w:tc>
          <w:tcPr>
            <w:tcW w:w="1884" w:type="dxa"/>
            <w:vMerge/>
          </w:tcPr>
          <w:p w14:paraId="3FD80CC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E6FEB3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Pobór mocy (bez PoE) nie może być większy niż 80W.</w:t>
            </w:r>
          </w:p>
        </w:tc>
        <w:tc>
          <w:tcPr>
            <w:tcW w:w="2147" w:type="dxa"/>
          </w:tcPr>
          <w:p w14:paraId="06A06A0A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1626B820" w14:textId="77777777" w:rsidTr="003900E0">
        <w:tc>
          <w:tcPr>
            <w:tcW w:w="1220" w:type="dxa"/>
          </w:tcPr>
          <w:p w14:paraId="45428AD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18</w:t>
            </w:r>
          </w:p>
        </w:tc>
        <w:tc>
          <w:tcPr>
            <w:tcW w:w="1884" w:type="dxa"/>
            <w:vMerge/>
          </w:tcPr>
          <w:p w14:paraId="24D58FE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FFD9DE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Wielkość tablicy routingu: minimum 2000 wpisów IPv4, 1000 wpisów IPv6</w:t>
            </w:r>
          </w:p>
        </w:tc>
        <w:tc>
          <w:tcPr>
            <w:tcW w:w="2147" w:type="dxa"/>
          </w:tcPr>
          <w:p w14:paraId="2F9F87BA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1E58098F" w14:textId="77777777" w:rsidTr="003900E0">
        <w:tc>
          <w:tcPr>
            <w:tcW w:w="1220" w:type="dxa"/>
          </w:tcPr>
          <w:p w14:paraId="66725706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lastRenderedPageBreak/>
              <w:t>19</w:t>
            </w:r>
          </w:p>
        </w:tc>
        <w:tc>
          <w:tcPr>
            <w:tcW w:w="1884" w:type="dxa"/>
            <w:vMerge/>
          </w:tcPr>
          <w:p w14:paraId="4B81723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008B866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Wielkość tablicy ARP co najmniej 8000 wpisów, wielkość tablicy ND co najmniej 8000 wpisów</w:t>
            </w:r>
          </w:p>
        </w:tc>
        <w:tc>
          <w:tcPr>
            <w:tcW w:w="2147" w:type="dxa"/>
          </w:tcPr>
          <w:p w14:paraId="2996EEE8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4F6C800C" w14:textId="77777777" w:rsidTr="003900E0">
        <w:tc>
          <w:tcPr>
            <w:tcW w:w="1220" w:type="dxa"/>
          </w:tcPr>
          <w:p w14:paraId="32736D2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20</w:t>
            </w:r>
          </w:p>
        </w:tc>
        <w:tc>
          <w:tcPr>
            <w:tcW w:w="1884" w:type="dxa"/>
            <w:vMerge/>
          </w:tcPr>
          <w:p w14:paraId="112FE9A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622AB9D" w14:textId="77777777" w:rsidR="000A0437" w:rsidRPr="003E1953" w:rsidRDefault="000A0437" w:rsidP="00966EFA">
            <w:pPr>
              <w:tabs>
                <w:tab w:val="left" w:pos="135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Tablica adresów MAC o wielkości minimum 16000 pozycji</w:t>
            </w:r>
          </w:p>
        </w:tc>
        <w:tc>
          <w:tcPr>
            <w:tcW w:w="2147" w:type="dxa"/>
          </w:tcPr>
          <w:p w14:paraId="2B1E95FB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7EC9787F" w14:textId="77777777" w:rsidTr="003900E0">
        <w:tc>
          <w:tcPr>
            <w:tcW w:w="1220" w:type="dxa"/>
          </w:tcPr>
          <w:p w14:paraId="1079193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21</w:t>
            </w:r>
          </w:p>
        </w:tc>
        <w:tc>
          <w:tcPr>
            <w:tcW w:w="1884" w:type="dxa"/>
            <w:vMerge/>
          </w:tcPr>
          <w:p w14:paraId="10C9FA9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F9EA2D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Obsługa Jumbo Frames</w:t>
            </w:r>
          </w:p>
        </w:tc>
        <w:tc>
          <w:tcPr>
            <w:tcW w:w="2147" w:type="dxa"/>
          </w:tcPr>
          <w:p w14:paraId="73D99F84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26A145A" w14:textId="77777777" w:rsidTr="003900E0">
        <w:tc>
          <w:tcPr>
            <w:tcW w:w="1220" w:type="dxa"/>
          </w:tcPr>
          <w:p w14:paraId="12208F8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22</w:t>
            </w:r>
          </w:p>
        </w:tc>
        <w:tc>
          <w:tcPr>
            <w:tcW w:w="1884" w:type="dxa"/>
            <w:vMerge/>
          </w:tcPr>
          <w:p w14:paraId="0630185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E21E48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Obsługa sFlow lub Netflow</w:t>
            </w:r>
          </w:p>
        </w:tc>
        <w:tc>
          <w:tcPr>
            <w:tcW w:w="2147" w:type="dxa"/>
          </w:tcPr>
          <w:p w14:paraId="754991C4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724E5CBC" w14:textId="77777777" w:rsidTr="003900E0">
        <w:tc>
          <w:tcPr>
            <w:tcW w:w="1220" w:type="dxa"/>
          </w:tcPr>
          <w:p w14:paraId="5A9B75D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23</w:t>
            </w:r>
          </w:p>
        </w:tc>
        <w:tc>
          <w:tcPr>
            <w:tcW w:w="1884" w:type="dxa"/>
            <w:vMerge/>
          </w:tcPr>
          <w:p w14:paraId="1903CAD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1885904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Obsługa skryptów w języku Python</w:t>
            </w:r>
          </w:p>
        </w:tc>
        <w:tc>
          <w:tcPr>
            <w:tcW w:w="2147" w:type="dxa"/>
          </w:tcPr>
          <w:p w14:paraId="26CBC4EC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38C7C09F" w14:textId="77777777" w:rsidTr="003900E0">
        <w:tc>
          <w:tcPr>
            <w:tcW w:w="1220" w:type="dxa"/>
          </w:tcPr>
          <w:p w14:paraId="434891A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24</w:t>
            </w:r>
          </w:p>
        </w:tc>
        <w:tc>
          <w:tcPr>
            <w:tcW w:w="1884" w:type="dxa"/>
            <w:vMerge/>
          </w:tcPr>
          <w:p w14:paraId="5209A3F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6E3255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Obsługa REST API</w:t>
            </w:r>
          </w:p>
        </w:tc>
        <w:tc>
          <w:tcPr>
            <w:tcW w:w="2147" w:type="dxa"/>
          </w:tcPr>
          <w:p w14:paraId="631BB3A6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517B1BEA" w14:textId="77777777" w:rsidTr="003900E0">
        <w:tc>
          <w:tcPr>
            <w:tcW w:w="1220" w:type="dxa"/>
          </w:tcPr>
          <w:p w14:paraId="62355B04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25</w:t>
            </w:r>
          </w:p>
        </w:tc>
        <w:tc>
          <w:tcPr>
            <w:tcW w:w="1884" w:type="dxa"/>
            <w:vMerge/>
          </w:tcPr>
          <w:p w14:paraId="33F19EB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761B7E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Wbudowany mechanizm monitoringu, analizy i troubleshootingu anomalii i problemów oraz zbierania danych sieciowych. Musi być możliwe podejmowanie akcji na podstawie zdefiniowanych polityk oraz wgrywanie i eksport skryptów pozwalających na indywidualizację monitorowanych danych. Musi być dostępna publicznie strona producenta zawierająca zatwierdzone przez niego, gotowe do użycia skrypty</w:t>
            </w:r>
          </w:p>
        </w:tc>
        <w:tc>
          <w:tcPr>
            <w:tcW w:w="2147" w:type="dxa"/>
          </w:tcPr>
          <w:p w14:paraId="5AD8FD52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3FBE9CDC" w14:textId="77777777" w:rsidTr="003900E0">
        <w:tc>
          <w:tcPr>
            <w:tcW w:w="1220" w:type="dxa"/>
          </w:tcPr>
          <w:p w14:paraId="7AEAB3C6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26</w:t>
            </w:r>
          </w:p>
        </w:tc>
        <w:tc>
          <w:tcPr>
            <w:tcW w:w="1884" w:type="dxa"/>
            <w:vMerge/>
          </w:tcPr>
          <w:p w14:paraId="18FFB5F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4F52C30" w14:textId="77777777" w:rsidR="000A0437" w:rsidRPr="003E1953" w:rsidRDefault="000A0437" w:rsidP="00966EFA">
            <w:pPr>
              <w:tabs>
                <w:tab w:val="left" w:pos="321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Obsługa RMON (minimum grupy 1,2,3 i 9)</w:t>
            </w:r>
          </w:p>
        </w:tc>
        <w:tc>
          <w:tcPr>
            <w:tcW w:w="2147" w:type="dxa"/>
          </w:tcPr>
          <w:p w14:paraId="6CACE448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3A4E9D4A" w14:textId="77777777" w:rsidTr="003900E0">
        <w:trPr>
          <w:trHeight w:val="507"/>
        </w:trPr>
        <w:tc>
          <w:tcPr>
            <w:tcW w:w="1220" w:type="dxa"/>
          </w:tcPr>
          <w:p w14:paraId="0E9483C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27</w:t>
            </w:r>
          </w:p>
        </w:tc>
        <w:tc>
          <w:tcPr>
            <w:tcW w:w="1884" w:type="dxa"/>
            <w:vMerge/>
          </w:tcPr>
          <w:p w14:paraId="728F692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2C2593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Obsługa 4094 tagów IEEE 802.1Q oraz 2000 jednoczesnych sieci VLAN</w:t>
            </w:r>
          </w:p>
        </w:tc>
        <w:tc>
          <w:tcPr>
            <w:tcW w:w="2147" w:type="dxa"/>
          </w:tcPr>
          <w:p w14:paraId="74E618B4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1C3FC62" w14:textId="77777777" w:rsidTr="003900E0">
        <w:tc>
          <w:tcPr>
            <w:tcW w:w="1220" w:type="dxa"/>
          </w:tcPr>
          <w:p w14:paraId="74F5000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28</w:t>
            </w:r>
          </w:p>
        </w:tc>
        <w:tc>
          <w:tcPr>
            <w:tcW w:w="1884" w:type="dxa"/>
            <w:vMerge w:val="restart"/>
            <w:vAlign w:val="center"/>
          </w:tcPr>
          <w:p w14:paraId="760E750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 xml:space="preserve">Przełączniki dostępowe 48 portowe </w:t>
            </w:r>
          </w:p>
        </w:tc>
        <w:tc>
          <w:tcPr>
            <w:tcW w:w="3811" w:type="dxa"/>
          </w:tcPr>
          <w:p w14:paraId="23ABF31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Obsługa standardu 802.1v</w:t>
            </w:r>
          </w:p>
        </w:tc>
        <w:tc>
          <w:tcPr>
            <w:tcW w:w="2147" w:type="dxa"/>
          </w:tcPr>
          <w:p w14:paraId="1699B511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3BA2FFC0" w14:textId="77777777" w:rsidTr="003900E0">
        <w:tc>
          <w:tcPr>
            <w:tcW w:w="1220" w:type="dxa"/>
          </w:tcPr>
          <w:p w14:paraId="76B5FFB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29</w:t>
            </w:r>
          </w:p>
        </w:tc>
        <w:tc>
          <w:tcPr>
            <w:tcW w:w="1884" w:type="dxa"/>
            <w:vMerge/>
          </w:tcPr>
          <w:p w14:paraId="3F1FC73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12ADB4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Obsługa protokołu MVRP</w:t>
            </w:r>
          </w:p>
          <w:p w14:paraId="242C140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4A084DF1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5A26592F" w14:textId="77777777" w:rsidTr="003900E0">
        <w:tc>
          <w:tcPr>
            <w:tcW w:w="1220" w:type="dxa"/>
          </w:tcPr>
          <w:p w14:paraId="773A437C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30</w:t>
            </w:r>
          </w:p>
        </w:tc>
        <w:tc>
          <w:tcPr>
            <w:tcW w:w="1884" w:type="dxa"/>
            <w:vMerge/>
          </w:tcPr>
          <w:p w14:paraId="113BEAF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2B2474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8412AD">
              <w:rPr>
                <w:rFonts w:asciiTheme="minorHAnsi" w:eastAsia="CenturyGothic,Italic" w:hAnsiTheme="minorHAnsi" w:cstheme="minorHAnsi"/>
              </w:rPr>
              <w:t>Wsparcie dla VXLAN</w:t>
            </w:r>
          </w:p>
        </w:tc>
        <w:tc>
          <w:tcPr>
            <w:tcW w:w="2147" w:type="dxa"/>
          </w:tcPr>
          <w:p w14:paraId="4C6502B9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E446FF5" w14:textId="77777777" w:rsidTr="003900E0">
        <w:tc>
          <w:tcPr>
            <w:tcW w:w="1220" w:type="dxa"/>
          </w:tcPr>
          <w:p w14:paraId="0C38421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31</w:t>
            </w:r>
          </w:p>
        </w:tc>
        <w:tc>
          <w:tcPr>
            <w:tcW w:w="1884" w:type="dxa"/>
            <w:vMerge/>
          </w:tcPr>
          <w:p w14:paraId="654BE99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C4CDDA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2E6DE4">
              <w:rPr>
                <w:rFonts w:asciiTheme="minorHAnsi" w:eastAsia="CenturyGothic,Italic" w:hAnsiTheme="minorHAnsi" w:cstheme="minorHAnsi"/>
              </w:rPr>
              <w:t xml:space="preserve">Dostęp do urządzenia przez konsolę szeregową, HTTPS, SSHv2, SNMPv3, dedykowaną aplikację na urządzenia mobilne </w:t>
            </w:r>
          </w:p>
        </w:tc>
        <w:tc>
          <w:tcPr>
            <w:tcW w:w="2147" w:type="dxa"/>
          </w:tcPr>
          <w:p w14:paraId="1BE15346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:rsidRPr="00E069C5" w14:paraId="5319B2C1" w14:textId="77777777" w:rsidTr="003900E0">
        <w:tc>
          <w:tcPr>
            <w:tcW w:w="1220" w:type="dxa"/>
          </w:tcPr>
          <w:p w14:paraId="1287E77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32</w:t>
            </w:r>
          </w:p>
        </w:tc>
        <w:tc>
          <w:tcPr>
            <w:tcW w:w="1884" w:type="dxa"/>
            <w:vMerge/>
          </w:tcPr>
          <w:p w14:paraId="02C6A0F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918C439" w14:textId="77777777" w:rsidR="000A0437" w:rsidRPr="00A72DED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  <w:r w:rsidRPr="002E6DE4">
              <w:rPr>
                <w:rFonts w:asciiTheme="minorHAnsi" w:eastAsia="CenturyGothic,Italic" w:hAnsiTheme="minorHAnsi" w:cstheme="minorHAnsi"/>
                <w:lang w:val="en-US"/>
              </w:rPr>
              <w:t>Obsługa Rapid Spanning Tree (802.1w) i Multiple Spanning Tree (802.1s)</w:t>
            </w:r>
          </w:p>
        </w:tc>
        <w:tc>
          <w:tcPr>
            <w:tcW w:w="2147" w:type="dxa"/>
          </w:tcPr>
          <w:p w14:paraId="662C788D" w14:textId="77777777" w:rsidR="000A0437" w:rsidRPr="00A72DED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</w:p>
        </w:tc>
      </w:tr>
      <w:tr w:rsidR="000A0437" w14:paraId="39E1683E" w14:textId="77777777" w:rsidTr="003900E0">
        <w:tc>
          <w:tcPr>
            <w:tcW w:w="1220" w:type="dxa"/>
          </w:tcPr>
          <w:p w14:paraId="1BEB87C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33</w:t>
            </w:r>
          </w:p>
        </w:tc>
        <w:tc>
          <w:tcPr>
            <w:tcW w:w="1884" w:type="dxa"/>
            <w:vMerge/>
          </w:tcPr>
          <w:p w14:paraId="35C4CC3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9DA20A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2E6DE4">
              <w:rPr>
                <w:rFonts w:asciiTheme="minorHAnsi" w:eastAsia="CenturyGothic,Italic" w:hAnsiTheme="minorHAnsi" w:cstheme="minorHAnsi"/>
              </w:rPr>
              <w:t>Obsługa Secure FTP lub SCP</w:t>
            </w:r>
          </w:p>
        </w:tc>
        <w:tc>
          <w:tcPr>
            <w:tcW w:w="2147" w:type="dxa"/>
          </w:tcPr>
          <w:p w14:paraId="2024ABD9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4010DDFF" w14:textId="77777777" w:rsidTr="003900E0">
        <w:tc>
          <w:tcPr>
            <w:tcW w:w="1220" w:type="dxa"/>
          </w:tcPr>
          <w:p w14:paraId="1768E62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34</w:t>
            </w:r>
          </w:p>
        </w:tc>
        <w:tc>
          <w:tcPr>
            <w:tcW w:w="1884" w:type="dxa"/>
            <w:vMerge/>
          </w:tcPr>
          <w:p w14:paraId="2E51E83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74575F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2E6DE4">
              <w:rPr>
                <w:rFonts w:asciiTheme="minorHAnsi" w:eastAsia="CenturyGothic,Italic" w:hAnsiTheme="minorHAnsi" w:cstheme="minorHAnsi"/>
              </w:rPr>
              <w:t>Obsługa łączy agregowanych zgodnie ze standardem 802.3ad Link Aggregation Protocol (LACP)</w:t>
            </w:r>
          </w:p>
        </w:tc>
        <w:tc>
          <w:tcPr>
            <w:tcW w:w="2147" w:type="dxa"/>
          </w:tcPr>
          <w:p w14:paraId="5ECB8096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6B2CAAA0" w14:textId="77777777" w:rsidTr="003900E0">
        <w:tc>
          <w:tcPr>
            <w:tcW w:w="1220" w:type="dxa"/>
          </w:tcPr>
          <w:p w14:paraId="622161D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35</w:t>
            </w:r>
          </w:p>
        </w:tc>
        <w:tc>
          <w:tcPr>
            <w:tcW w:w="1884" w:type="dxa"/>
            <w:vMerge/>
          </w:tcPr>
          <w:p w14:paraId="35B4608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3E7336A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2E6DE4">
              <w:rPr>
                <w:rFonts w:asciiTheme="minorHAnsi" w:eastAsia="CenturyGothic,Italic" w:hAnsiTheme="minorHAnsi" w:cstheme="minorHAnsi"/>
              </w:rPr>
              <w:t>Obsługa SNTPv4 lub NTP</w:t>
            </w:r>
          </w:p>
        </w:tc>
        <w:tc>
          <w:tcPr>
            <w:tcW w:w="2147" w:type="dxa"/>
          </w:tcPr>
          <w:p w14:paraId="37AC61B2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:rsidRPr="00E069C5" w14:paraId="3A078AE6" w14:textId="77777777" w:rsidTr="003900E0">
        <w:tc>
          <w:tcPr>
            <w:tcW w:w="1220" w:type="dxa"/>
          </w:tcPr>
          <w:p w14:paraId="2B9AA87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36</w:t>
            </w:r>
          </w:p>
        </w:tc>
        <w:tc>
          <w:tcPr>
            <w:tcW w:w="1884" w:type="dxa"/>
            <w:vMerge/>
          </w:tcPr>
          <w:p w14:paraId="673DF69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F2A918B" w14:textId="77777777" w:rsidR="000A0437" w:rsidRPr="00A72DED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  <w:r w:rsidRPr="004B1B8E">
              <w:rPr>
                <w:rFonts w:asciiTheme="minorHAnsi" w:eastAsia="CenturyGothic,Italic" w:hAnsiTheme="minorHAnsi" w:cstheme="minorHAnsi"/>
                <w:lang w:val="en-US"/>
              </w:rPr>
              <w:t>Wsparcie dla IPv6 (IPv6 host, dual stack, MLD snooping, ND snooping)</w:t>
            </w:r>
          </w:p>
        </w:tc>
        <w:tc>
          <w:tcPr>
            <w:tcW w:w="2147" w:type="dxa"/>
          </w:tcPr>
          <w:p w14:paraId="2F1E574A" w14:textId="77777777" w:rsidR="000A0437" w:rsidRPr="00A72DED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</w:p>
        </w:tc>
      </w:tr>
      <w:tr w:rsidR="000A0437" w14:paraId="314EBBB0" w14:textId="77777777" w:rsidTr="003900E0">
        <w:tc>
          <w:tcPr>
            <w:tcW w:w="1220" w:type="dxa"/>
          </w:tcPr>
          <w:p w14:paraId="4E686B4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37</w:t>
            </w:r>
          </w:p>
        </w:tc>
        <w:tc>
          <w:tcPr>
            <w:tcW w:w="1884" w:type="dxa"/>
            <w:vMerge/>
          </w:tcPr>
          <w:p w14:paraId="16E9495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EAF0BFC" w14:textId="77777777" w:rsidR="000A0437" w:rsidRPr="007430B4" w:rsidRDefault="000A0437" w:rsidP="00966EFA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 xml:space="preserve">Obsługa protokołów rutingu: ruting statyczny, OSPF, OSPFv3 </w:t>
            </w:r>
          </w:p>
          <w:p w14:paraId="6C6B8EAC" w14:textId="77777777" w:rsidR="000A0437" w:rsidRPr="003E1953" w:rsidRDefault="000A0437" w:rsidP="00966EFA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754D4B4D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27590BE0" w14:textId="77777777" w:rsidTr="003900E0">
        <w:tc>
          <w:tcPr>
            <w:tcW w:w="1220" w:type="dxa"/>
          </w:tcPr>
          <w:p w14:paraId="34832C60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38</w:t>
            </w:r>
          </w:p>
        </w:tc>
        <w:tc>
          <w:tcPr>
            <w:tcW w:w="1884" w:type="dxa"/>
            <w:vMerge/>
          </w:tcPr>
          <w:p w14:paraId="274A25C2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29756D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Obsługa ruchu multicast: IGMPv1/v2/v3 (co najmniej 1000 grup), MLD (co najmniej 1000 grup)</w:t>
            </w:r>
          </w:p>
        </w:tc>
        <w:tc>
          <w:tcPr>
            <w:tcW w:w="2147" w:type="dxa"/>
          </w:tcPr>
          <w:p w14:paraId="62EC8938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:rsidRPr="00E069C5" w14:paraId="1062BCBE" w14:textId="77777777" w:rsidTr="003900E0">
        <w:tc>
          <w:tcPr>
            <w:tcW w:w="1220" w:type="dxa"/>
          </w:tcPr>
          <w:p w14:paraId="1E2964B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39</w:t>
            </w:r>
          </w:p>
        </w:tc>
        <w:tc>
          <w:tcPr>
            <w:tcW w:w="1884" w:type="dxa"/>
            <w:vMerge/>
          </w:tcPr>
          <w:p w14:paraId="350ABB18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77B85B09" w14:textId="77777777" w:rsidR="000A0437" w:rsidRPr="00A72DED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  <w:r w:rsidRPr="007430B4">
              <w:rPr>
                <w:rFonts w:asciiTheme="minorHAnsi" w:eastAsia="CenturyGothic,Italic" w:hAnsiTheme="minorHAnsi" w:cstheme="minorHAnsi"/>
                <w:lang w:val="en-US"/>
              </w:rPr>
              <w:t>Obsługa IEEE 802.1AB Link Layer Discovery Protocol (LLDP) i LLDP Media Endpoint Discovery (LLDP-MED)</w:t>
            </w:r>
          </w:p>
        </w:tc>
        <w:tc>
          <w:tcPr>
            <w:tcW w:w="2147" w:type="dxa"/>
          </w:tcPr>
          <w:p w14:paraId="768967DF" w14:textId="77777777" w:rsidR="000A0437" w:rsidRPr="00A72DED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  <w:lang w:val="en-US"/>
              </w:rPr>
            </w:pPr>
          </w:p>
        </w:tc>
      </w:tr>
      <w:tr w:rsidR="000A0437" w14:paraId="0D5EA51B" w14:textId="77777777" w:rsidTr="003900E0">
        <w:tc>
          <w:tcPr>
            <w:tcW w:w="1220" w:type="dxa"/>
          </w:tcPr>
          <w:p w14:paraId="36EF79B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40</w:t>
            </w:r>
          </w:p>
        </w:tc>
        <w:tc>
          <w:tcPr>
            <w:tcW w:w="1884" w:type="dxa"/>
            <w:vMerge/>
          </w:tcPr>
          <w:p w14:paraId="1C1C961B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FB747A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Automatyczna konfiguracja VLAN dla urządzeń VoIP oparta co najmniej o: RADIUS VLAN (użycie atrybutów RADIUS i mechanizmu LLDP-MED)</w:t>
            </w:r>
          </w:p>
        </w:tc>
        <w:tc>
          <w:tcPr>
            <w:tcW w:w="2147" w:type="dxa"/>
          </w:tcPr>
          <w:p w14:paraId="05439959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7F476B13" w14:textId="77777777" w:rsidTr="003900E0">
        <w:tc>
          <w:tcPr>
            <w:tcW w:w="1220" w:type="dxa"/>
          </w:tcPr>
          <w:p w14:paraId="02F0B203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41</w:t>
            </w:r>
          </w:p>
        </w:tc>
        <w:tc>
          <w:tcPr>
            <w:tcW w:w="1884" w:type="dxa"/>
            <w:vMerge/>
          </w:tcPr>
          <w:p w14:paraId="66E9CF37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32BF5EA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 xml:space="preserve">Mechanizmy związane z zapewnieniem jakości usług w sieci: prioryteryzacja </w:t>
            </w:r>
            <w:r w:rsidRPr="007430B4">
              <w:rPr>
                <w:rFonts w:asciiTheme="minorHAnsi" w:eastAsia="CenturyGothic,Italic" w:hAnsiTheme="minorHAnsi" w:cstheme="minorHAnsi"/>
              </w:rPr>
              <w:lastRenderedPageBreak/>
              <w:t>zgodna z 802.1p, ToS, TCP/UDP, DiffServ, wsparcie dla 8 kolejek sprzętowych, rate-limiting</w:t>
            </w:r>
          </w:p>
        </w:tc>
        <w:tc>
          <w:tcPr>
            <w:tcW w:w="2147" w:type="dxa"/>
          </w:tcPr>
          <w:p w14:paraId="72A000B1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5C082022" w14:textId="77777777" w:rsidTr="003900E0">
        <w:tc>
          <w:tcPr>
            <w:tcW w:w="1220" w:type="dxa"/>
          </w:tcPr>
          <w:p w14:paraId="71E3C3F1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42</w:t>
            </w:r>
          </w:p>
        </w:tc>
        <w:tc>
          <w:tcPr>
            <w:tcW w:w="1884" w:type="dxa"/>
            <w:vMerge/>
          </w:tcPr>
          <w:p w14:paraId="49E0E11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32943B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 xml:space="preserve">Obsługa uwierzytelniania użytkowników zgodna z 802.1x </w:t>
            </w:r>
          </w:p>
        </w:tc>
        <w:tc>
          <w:tcPr>
            <w:tcW w:w="2147" w:type="dxa"/>
          </w:tcPr>
          <w:p w14:paraId="7118B5EC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0E235310" w14:textId="77777777" w:rsidTr="003900E0">
        <w:tc>
          <w:tcPr>
            <w:tcW w:w="1220" w:type="dxa"/>
          </w:tcPr>
          <w:p w14:paraId="3EC5ACD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43</w:t>
            </w:r>
          </w:p>
        </w:tc>
        <w:tc>
          <w:tcPr>
            <w:tcW w:w="1884" w:type="dxa"/>
            <w:vMerge/>
          </w:tcPr>
          <w:p w14:paraId="4085856F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D5CC36C" w14:textId="77777777" w:rsidR="000A0437" w:rsidRPr="007430B4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Obsługa uwierzytelniania użytkowników w oparciu o adres MAC i serwer RADIUS</w:t>
            </w:r>
          </w:p>
          <w:p w14:paraId="4AC1E6BE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0BBDDF11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0A0437" w14:paraId="32EF9C62" w14:textId="77777777" w:rsidTr="003900E0">
        <w:tc>
          <w:tcPr>
            <w:tcW w:w="1220" w:type="dxa"/>
          </w:tcPr>
          <w:p w14:paraId="7C365604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44</w:t>
            </w:r>
          </w:p>
        </w:tc>
        <w:tc>
          <w:tcPr>
            <w:tcW w:w="1884" w:type="dxa"/>
            <w:vMerge/>
          </w:tcPr>
          <w:p w14:paraId="4B8EC30D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3EDD9D45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Obsługa uwierzytelniania użytkowników w oparciu o stronę WWW z użyciem zewnętrznego serwera</w:t>
            </w:r>
          </w:p>
          <w:p w14:paraId="56E727D9" w14:textId="77777777" w:rsidR="000A0437" w:rsidRPr="003E1953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2147" w:type="dxa"/>
          </w:tcPr>
          <w:p w14:paraId="7CF08A1E" w14:textId="77777777" w:rsidR="000A0437" w:rsidRDefault="000A0437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4804BAF8" w14:textId="77777777" w:rsidTr="003900E0">
        <w:tc>
          <w:tcPr>
            <w:tcW w:w="1220" w:type="dxa"/>
          </w:tcPr>
          <w:p w14:paraId="2D4F1C44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45</w:t>
            </w:r>
          </w:p>
        </w:tc>
        <w:tc>
          <w:tcPr>
            <w:tcW w:w="1884" w:type="dxa"/>
            <w:vMerge w:val="restart"/>
            <w:vAlign w:val="center"/>
          </w:tcPr>
          <w:p w14:paraId="4EFC2D2D" w14:textId="3608BECD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Przełączniki dostępowe 48 portowe</w:t>
            </w:r>
          </w:p>
        </w:tc>
        <w:tc>
          <w:tcPr>
            <w:tcW w:w="3811" w:type="dxa"/>
          </w:tcPr>
          <w:p w14:paraId="3B5DF45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Obsługa uwierzytelniania wielu użytkowników na tym samym porcie w tym samym czasie</w:t>
            </w:r>
          </w:p>
        </w:tc>
        <w:tc>
          <w:tcPr>
            <w:tcW w:w="2147" w:type="dxa"/>
          </w:tcPr>
          <w:p w14:paraId="1E734AAE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3CEB8F01" w14:textId="77777777" w:rsidTr="003900E0">
        <w:tc>
          <w:tcPr>
            <w:tcW w:w="1220" w:type="dxa"/>
          </w:tcPr>
          <w:p w14:paraId="78859A0D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46</w:t>
            </w:r>
          </w:p>
        </w:tc>
        <w:tc>
          <w:tcPr>
            <w:tcW w:w="1884" w:type="dxa"/>
            <w:vMerge/>
          </w:tcPr>
          <w:p w14:paraId="3873DC62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FDA789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Obsługa autoryzacji logowania do urządzenia za pomocą serwerów RADIUS albo TACACS+</w:t>
            </w:r>
          </w:p>
        </w:tc>
        <w:tc>
          <w:tcPr>
            <w:tcW w:w="2147" w:type="dxa"/>
          </w:tcPr>
          <w:p w14:paraId="0B50FC4B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732C0D71" w14:textId="77777777" w:rsidTr="003900E0">
        <w:tc>
          <w:tcPr>
            <w:tcW w:w="1220" w:type="dxa"/>
          </w:tcPr>
          <w:p w14:paraId="33D9F75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47</w:t>
            </w:r>
          </w:p>
        </w:tc>
        <w:tc>
          <w:tcPr>
            <w:tcW w:w="1884" w:type="dxa"/>
            <w:vMerge/>
          </w:tcPr>
          <w:p w14:paraId="4BF1FC7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1D6EA4B1" w14:textId="77777777" w:rsidR="003900E0" w:rsidRPr="003E1953" w:rsidRDefault="003900E0" w:rsidP="00966EFA">
            <w:pPr>
              <w:tabs>
                <w:tab w:val="left" w:pos="960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Obsługa autoryzacji komend wydawanych do urządzenia za pomocą serwerów RADIUS albo TACACS+</w:t>
            </w:r>
          </w:p>
        </w:tc>
        <w:tc>
          <w:tcPr>
            <w:tcW w:w="2147" w:type="dxa"/>
          </w:tcPr>
          <w:p w14:paraId="38B0D6C5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7BF89D4E" w14:textId="77777777" w:rsidTr="003900E0">
        <w:tc>
          <w:tcPr>
            <w:tcW w:w="1220" w:type="dxa"/>
          </w:tcPr>
          <w:p w14:paraId="7C0CABFF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48</w:t>
            </w:r>
          </w:p>
        </w:tc>
        <w:tc>
          <w:tcPr>
            <w:tcW w:w="1884" w:type="dxa"/>
            <w:vMerge/>
          </w:tcPr>
          <w:p w14:paraId="0D2F50E6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B3F3363" w14:textId="77777777" w:rsidR="003900E0" w:rsidRPr="003E1953" w:rsidRDefault="003900E0" w:rsidP="00966EFA">
            <w:pPr>
              <w:tabs>
                <w:tab w:val="left" w:pos="975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Wbudowany serwer DHCP</w:t>
            </w:r>
          </w:p>
        </w:tc>
        <w:tc>
          <w:tcPr>
            <w:tcW w:w="2147" w:type="dxa"/>
          </w:tcPr>
          <w:p w14:paraId="72A340C4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1705BE7B" w14:textId="77777777" w:rsidTr="003900E0">
        <w:tc>
          <w:tcPr>
            <w:tcW w:w="1220" w:type="dxa"/>
          </w:tcPr>
          <w:p w14:paraId="0BB7AE27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49</w:t>
            </w:r>
          </w:p>
        </w:tc>
        <w:tc>
          <w:tcPr>
            <w:tcW w:w="1884" w:type="dxa"/>
            <w:vMerge/>
          </w:tcPr>
          <w:p w14:paraId="20A0C88A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33A1CB7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Obsługa blokowania nieautoryzowanych serwerów DHCP</w:t>
            </w:r>
          </w:p>
        </w:tc>
        <w:tc>
          <w:tcPr>
            <w:tcW w:w="2147" w:type="dxa"/>
          </w:tcPr>
          <w:p w14:paraId="776C765D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25475A99" w14:textId="77777777" w:rsidTr="003900E0">
        <w:tc>
          <w:tcPr>
            <w:tcW w:w="1220" w:type="dxa"/>
          </w:tcPr>
          <w:p w14:paraId="52692F5A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50</w:t>
            </w:r>
          </w:p>
        </w:tc>
        <w:tc>
          <w:tcPr>
            <w:tcW w:w="1884" w:type="dxa"/>
            <w:vMerge/>
          </w:tcPr>
          <w:p w14:paraId="284A7227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4B0A0F92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Obsługa mechanizmu wykrywania łączy jednokierunkowych typu Device Link Detection Protocol (DLDP), Uni-Directional Link Detection (UDLD), lub równoważnego</w:t>
            </w:r>
          </w:p>
        </w:tc>
        <w:tc>
          <w:tcPr>
            <w:tcW w:w="2147" w:type="dxa"/>
          </w:tcPr>
          <w:p w14:paraId="5C041FDD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473EF656" w14:textId="77777777" w:rsidTr="003900E0">
        <w:tc>
          <w:tcPr>
            <w:tcW w:w="1220" w:type="dxa"/>
          </w:tcPr>
          <w:p w14:paraId="3D6B55FB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51</w:t>
            </w:r>
          </w:p>
        </w:tc>
        <w:tc>
          <w:tcPr>
            <w:tcW w:w="1884" w:type="dxa"/>
            <w:vMerge/>
          </w:tcPr>
          <w:p w14:paraId="59CE531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5B55F86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Ochrona przed rekonfiguracją struktury topologii Spanning Tree (BPDU port protection)</w:t>
            </w:r>
          </w:p>
        </w:tc>
        <w:tc>
          <w:tcPr>
            <w:tcW w:w="2147" w:type="dxa"/>
          </w:tcPr>
          <w:p w14:paraId="0C26CACE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0F37F18B" w14:textId="77777777" w:rsidTr="003900E0">
        <w:tc>
          <w:tcPr>
            <w:tcW w:w="1220" w:type="dxa"/>
          </w:tcPr>
          <w:p w14:paraId="557D0F3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52</w:t>
            </w:r>
          </w:p>
        </w:tc>
        <w:tc>
          <w:tcPr>
            <w:tcW w:w="1884" w:type="dxa"/>
            <w:vMerge/>
          </w:tcPr>
          <w:p w14:paraId="39BE9ABC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042F6A3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Obsługa list kontroli dostępu (ACL) bazujących na porcie lub na VLAN z uwzględnieniem adresów, MAC, IP i portów TCP/UDP. Co najmniej 1000 wpisów typu ingress i 512 wpisów typu egress dla IPv4 i MAC</w:t>
            </w:r>
          </w:p>
        </w:tc>
        <w:tc>
          <w:tcPr>
            <w:tcW w:w="2147" w:type="dxa"/>
          </w:tcPr>
          <w:p w14:paraId="03FCAAFA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278E53B3" w14:textId="77777777" w:rsidTr="003900E0">
        <w:tc>
          <w:tcPr>
            <w:tcW w:w="1220" w:type="dxa"/>
          </w:tcPr>
          <w:p w14:paraId="703A283A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53</w:t>
            </w:r>
          </w:p>
        </w:tc>
        <w:tc>
          <w:tcPr>
            <w:tcW w:w="1884" w:type="dxa"/>
            <w:vMerge/>
          </w:tcPr>
          <w:p w14:paraId="022624E5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C62275B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Wbudowana sonda IP SLA</w:t>
            </w:r>
          </w:p>
        </w:tc>
        <w:tc>
          <w:tcPr>
            <w:tcW w:w="2147" w:type="dxa"/>
          </w:tcPr>
          <w:p w14:paraId="2C8C9073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5E845C21" w14:textId="77777777" w:rsidTr="003900E0">
        <w:tc>
          <w:tcPr>
            <w:tcW w:w="1220" w:type="dxa"/>
          </w:tcPr>
          <w:p w14:paraId="1A2DD302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54</w:t>
            </w:r>
          </w:p>
        </w:tc>
        <w:tc>
          <w:tcPr>
            <w:tcW w:w="1884" w:type="dxa"/>
            <w:vMerge/>
          </w:tcPr>
          <w:p w14:paraId="6B04AECE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2DB30A70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Zakres pracy od 0 do 45°C</w:t>
            </w:r>
          </w:p>
        </w:tc>
        <w:tc>
          <w:tcPr>
            <w:tcW w:w="2147" w:type="dxa"/>
          </w:tcPr>
          <w:p w14:paraId="48A434A4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7C7F48AE" w14:textId="77777777" w:rsidTr="003900E0">
        <w:tc>
          <w:tcPr>
            <w:tcW w:w="1220" w:type="dxa"/>
          </w:tcPr>
          <w:p w14:paraId="16CF550D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3E1953">
              <w:rPr>
                <w:rFonts w:asciiTheme="minorHAnsi" w:eastAsia="CenturyGothic,Italic" w:hAnsiTheme="minorHAnsi" w:cstheme="minorHAnsi"/>
              </w:rPr>
              <w:t>55</w:t>
            </w:r>
          </w:p>
        </w:tc>
        <w:tc>
          <w:tcPr>
            <w:tcW w:w="1884" w:type="dxa"/>
            <w:vMerge/>
          </w:tcPr>
          <w:p w14:paraId="2AFE9F41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053037B1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 w:rsidRPr="007430B4">
              <w:rPr>
                <w:rFonts w:asciiTheme="minorHAnsi" w:eastAsia="CenturyGothic,Italic" w:hAnsiTheme="minorHAnsi" w:cstheme="minorHAnsi"/>
              </w:rPr>
              <w:t>Przełącznik w obudowie 19”. Maksymalna wysokość obudowy 1U, maksymalna głębokość obudowy 40 cm.</w:t>
            </w:r>
          </w:p>
        </w:tc>
        <w:tc>
          <w:tcPr>
            <w:tcW w:w="2147" w:type="dxa"/>
          </w:tcPr>
          <w:p w14:paraId="25D521D2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  <w:tr w:rsidR="003900E0" w14:paraId="7467F899" w14:textId="77777777" w:rsidTr="003900E0">
        <w:trPr>
          <w:trHeight w:val="801"/>
        </w:trPr>
        <w:tc>
          <w:tcPr>
            <w:tcW w:w="1220" w:type="dxa"/>
          </w:tcPr>
          <w:p w14:paraId="3A1441C8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>
              <w:rPr>
                <w:rFonts w:asciiTheme="minorHAnsi" w:eastAsia="CenturyGothic,Italic" w:hAnsiTheme="minorHAnsi" w:cstheme="minorHAnsi"/>
              </w:rPr>
              <w:t>56</w:t>
            </w:r>
          </w:p>
        </w:tc>
        <w:tc>
          <w:tcPr>
            <w:tcW w:w="1884" w:type="dxa"/>
            <w:vMerge/>
          </w:tcPr>
          <w:p w14:paraId="362C7830" w14:textId="77777777" w:rsidR="003900E0" w:rsidRPr="003E1953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  <w:tc>
          <w:tcPr>
            <w:tcW w:w="3811" w:type="dxa"/>
          </w:tcPr>
          <w:p w14:paraId="630B9DCE" w14:textId="77777777" w:rsidR="003900E0" w:rsidRPr="007430B4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  <w:r>
              <w:rPr>
                <w:rFonts w:asciiTheme="minorHAnsi" w:eastAsia="CenturyGothic,Italic" w:hAnsiTheme="minorHAnsi" w:cstheme="minorHAnsi"/>
              </w:rPr>
              <w:t xml:space="preserve">Wszystkie dostępne na przełączniku funkcje dostępne przez cały okres użytkowania </w:t>
            </w:r>
            <w:r w:rsidRPr="00EB42E8">
              <w:rPr>
                <w:rFonts w:asciiTheme="minorHAnsi" w:eastAsia="CenturyGothic,Italic" w:hAnsiTheme="minorHAnsi" w:cstheme="minorHAnsi"/>
              </w:rPr>
              <w:t>(permanentne)</w:t>
            </w:r>
          </w:p>
        </w:tc>
        <w:tc>
          <w:tcPr>
            <w:tcW w:w="2147" w:type="dxa"/>
          </w:tcPr>
          <w:p w14:paraId="4FB1D5E8" w14:textId="77777777" w:rsidR="003900E0" w:rsidRDefault="003900E0" w:rsidP="00966EFA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CenturyGothic,Italic" w:hAnsiTheme="minorHAnsi" w:cstheme="minorHAnsi"/>
              </w:rPr>
            </w:pPr>
          </w:p>
        </w:tc>
      </w:tr>
    </w:tbl>
    <w:p w14:paraId="53B9052F" w14:textId="77777777" w:rsidR="000A0437" w:rsidRDefault="000A0437" w:rsidP="000A0437">
      <w:pPr>
        <w:autoSpaceDE w:val="0"/>
        <w:autoSpaceDN w:val="0"/>
        <w:adjustRightInd w:val="0"/>
        <w:spacing w:line="240" w:lineRule="exact"/>
        <w:ind w:left="2880" w:firstLine="720"/>
        <w:rPr>
          <w:rFonts w:eastAsia="CenturyGothic,Italic" w:cstheme="minorHAnsi"/>
          <w:i/>
          <w:iCs/>
        </w:rPr>
      </w:pPr>
    </w:p>
    <w:p w14:paraId="7C08C2CC" w14:textId="77777777" w:rsidR="000A0437" w:rsidRDefault="000A0437" w:rsidP="000A0437">
      <w:pPr>
        <w:autoSpaceDE w:val="0"/>
        <w:autoSpaceDN w:val="0"/>
        <w:adjustRightInd w:val="0"/>
        <w:spacing w:line="240" w:lineRule="exact"/>
        <w:ind w:left="2880" w:firstLine="720"/>
        <w:rPr>
          <w:rFonts w:eastAsia="CenturyGothic,Italic" w:cstheme="minorHAnsi"/>
          <w:i/>
          <w:iCs/>
        </w:rPr>
      </w:pPr>
    </w:p>
    <w:p w14:paraId="77260D6F" w14:textId="77777777" w:rsidR="000A0437" w:rsidRDefault="000A0437" w:rsidP="000A0437">
      <w:pPr>
        <w:autoSpaceDE w:val="0"/>
        <w:autoSpaceDN w:val="0"/>
        <w:adjustRightInd w:val="0"/>
        <w:spacing w:line="240" w:lineRule="exact"/>
        <w:ind w:left="2880" w:firstLine="720"/>
        <w:rPr>
          <w:rFonts w:eastAsia="CenturyGothic,Italic" w:cstheme="minorHAnsi"/>
          <w:i/>
          <w:iCs/>
        </w:rPr>
      </w:pPr>
    </w:p>
    <w:p w14:paraId="09DE48F3" w14:textId="77777777" w:rsidR="000A0437" w:rsidRDefault="000A0437" w:rsidP="000A0437">
      <w:pPr>
        <w:jc w:val="both"/>
        <w:rPr>
          <w:rFonts w:cstheme="minorHAnsi"/>
        </w:rPr>
      </w:pPr>
      <w:r w:rsidRPr="00AB7FEC">
        <w:rPr>
          <w:rFonts w:cstheme="minorHAnsi"/>
        </w:rPr>
        <w:t>.........................................., dn. .....................</w:t>
      </w:r>
      <w:r w:rsidRPr="00AB7FEC">
        <w:rPr>
          <w:rFonts w:cstheme="minorHAnsi"/>
        </w:rPr>
        <w:tab/>
      </w:r>
      <w:r>
        <w:rPr>
          <w:rFonts w:cstheme="minorHAnsi"/>
        </w:rPr>
        <w:t xml:space="preserve">  </w:t>
      </w:r>
    </w:p>
    <w:p w14:paraId="57825FDB" w14:textId="574B8898" w:rsidR="000A0437" w:rsidRPr="000A0437" w:rsidRDefault="000A0437" w:rsidP="000A0437">
      <w:pPr>
        <w:rPr>
          <w:rFonts w:cstheme="minorHAnsi"/>
          <w:i/>
          <w:iCs/>
          <w:sz w:val="18"/>
          <w:szCs w:val="18"/>
        </w:rPr>
      </w:pPr>
      <w:r w:rsidRPr="0043187E">
        <w:rPr>
          <w:rFonts w:cstheme="minorHAnsi"/>
          <w:sz w:val="20"/>
          <w:szCs w:val="20"/>
        </w:rPr>
        <w:t xml:space="preserve">          </w:t>
      </w:r>
      <w:r>
        <w:rPr>
          <w:rFonts w:cstheme="minorHAnsi"/>
          <w:sz w:val="20"/>
          <w:szCs w:val="20"/>
        </w:rPr>
        <w:t xml:space="preserve">     </w:t>
      </w:r>
      <w:r w:rsidRPr="0043187E">
        <w:rPr>
          <w:rFonts w:cstheme="minorHAnsi"/>
          <w:i/>
          <w:iCs/>
          <w:sz w:val="20"/>
          <w:szCs w:val="20"/>
        </w:rPr>
        <w:t>mi</w:t>
      </w:r>
      <w:r w:rsidRPr="00C178F3">
        <w:rPr>
          <w:rFonts w:cstheme="minorHAnsi"/>
          <w:i/>
          <w:iCs/>
          <w:sz w:val="18"/>
          <w:szCs w:val="18"/>
        </w:rPr>
        <w:t xml:space="preserve">ejscowość                                     </w:t>
      </w:r>
      <w:r>
        <w:rPr>
          <w:rFonts w:cstheme="minorHAnsi"/>
          <w:i/>
          <w:iCs/>
          <w:sz w:val="18"/>
          <w:szCs w:val="18"/>
        </w:rPr>
        <w:t xml:space="preserve">      </w:t>
      </w:r>
      <w:r w:rsidRPr="00C178F3">
        <w:rPr>
          <w:rFonts w:cstheme="minorHAnsi"/>
          <w:i/>
          <w:iCs/>
          <w:sz w:val="18"/>
          <w:szCs w:val="18"/>
        </w:rPr>
        <w:t xml:space="preserve"> data</w:t>
      </w:r>
      <w:r>
        <w:rPr>
          <w:rFonts w:cstheme="minorHAnsi"/>
          <w:i/>
          <w:iCs/>
          <w:sz w:val="18"/>
          <w:szCs w:val="18"/>
        </w:rPr>
        <w:t xml:space="preserve">                           </w:t>
      </w:r>
      <w:r w:rsidRPr="00AB7FEC">
        <w:rPr>
          <w:rFonts w:cstheme="minorHAnsi"/>
        </w:rPr>
        <w:t>............................................................................</w:t>
      </w:r>
    </w:p>
    <w:p w14:paraId="45E07088" w14:textId="07C40F5B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  <w:r w:rsidRPr="00AB7FEC">
        <w:rPr>
          <w:rFonts w:eastAsia="CenturyGothic,Italic" w:cstheme="minorHAnsi"/>
          <w:i/>
          <w:iCs/>
          <w:sz w:val="20"/>
          <w:szCs w:val="20"/>
        </w:rPr>
        <w:tab/>
      </w:r>
      <w:r w:rsidRPr="00AB7FEC">
        <w:rPr>
          <w:rFonts w:eastAsia="CenturyGothic,Italic" w:cstheme="minorHAnsi"/>
          <w:i/>
          <w:iCs/>
          <w:sz w:val="20"/>
          <w:szCs w:val="20"/>
        </w:rPr>
        <w:tab/>
      </w:r>
      <w:r>
        <w:rPr>
          <w:rFonts w:eastAsia="CenturyGothic,Italic" w:cstheme="minorHAnsi"/>
          <w:i/>
          <w:iCs/>
          <w:sz w:val="20"/>
          <w:szCs w:val="20"/>
        </w:rPr>
        <w:t xml:space="preserve">   </w:t>
      </w:r>
      <w:r w:rsidRPr="00C178F3">
        <w:rPr>
          <w:rFonts w:eastAsia="CenturyGothic,Italic" w:cstheme="minorHAnsi"/>
          <w:i/>
          <w:iCs/>
          <w:sz w:val="18"/>
          <w:szCs w:val="18"/>
        </w:rPr>
        <w:t>podpis Wykonawcy</w:t>
      </w:r>
    </w:p>
    <w:p w14:paraId="59717E6F" w14:textId="77777777" w:rsidR="000A0437" w:rsidRPr="000A0437" w:rsidRDefault="000A0437" w:rsidP="000A0437">
      <w:pPr>
        <w:keepNext/>
        <w:shd w:val="clear" w:color="auto" w:fill="F2F2F2"/>
        <w:spacing w:before="240" w:after="240" w:line="276" w:lineRule="auto"/>
        <w:jc w:val="right"/>
        <w:outlineLvl w:val="2"/>
        <w:rPr>
          <w:rFonts w:ascii="Calibri" w:eastAsia="Times New Roman" w:hAnsi="Calibri" w:cs="Calibri"/>
          <w:b/>
          <w:bCs/>
          <w:smallCaps/>
          <w:spacing w:val="5"/>
          <w:kern w:val="0"/>
          <w:sz w:val="26"/>
          <w:szCs w:val="26"/>
          <w:u w:val="single"/>
          <w14:ligatures w14:val="none"/>
        </w:rPr>
      </w:pPr>
      <w:bookmarkStart w:id="2" w:name="_Toc203026082"/>
      <w:r w:rsidRPr="000A0437">
        <w:rPr>
          <w:rFonts w:ascii="Calibri" w:eastAsia="Times New Roman" w:hAnsi="Calibri" w:cs="Calibri"/>
          <w:b/>
          <w:bCs/>
          <w:smallCaps/>
          <w:spacing w:val="5"/>
          <w:kern w:val="0"/>
          <w:sz w:val="26"/>
          <w:szCs w:val="26"/>
          <w:u w:val="single"/>
          <w14:ligatures w14:val="none"/>
        </w:rPr>
        <w:lastRenderedPageBreak/>
        <w:t>Załącznik nr 3 do SIWZ</w:t>
      </w:r>
      <w:bookmarkEnd w:id="2"/>
    </w:p>
    <w:p w14:paraId="720C5FC2" w14:textId="77777777" w:rsidR="000A0437" w:rsidRPr="000A0437" w:rsidRDefault="000A0437" w:rsidP="000A0437">
      <w:pPr>
        <w:keepNext/>
        <w:shd w:val="clear" w:color="auto" w:fill="F2F2F2"/>
        <w:spacing w:before="240" w:after="240" w:line="276" w:lineRule="auto"/>
        <w:jc w:val="center"/>
        <w:outlineLvl w:val="2"/>
        <w:rPr>
          <w:rFonts w:ascii="Calibri" w:eastAsia="Times New Roman" w:hAnsi="Calibri" w:cs="Calibri"/>
          <w:b/>
          <w:bCs/>
          <w:smallCaps/>
          <w:spacing w:val="5"/>
          <w:kern w:val="0"/>
          <w:sz w:val="36"/>
          <w:szCs w:val="36"/>
          <w:u w:val="single"/>
          <w14:ligatures w14:val="none"/>
        </w:rPr>
      </w:pPr>
      <w:bookmarkStart w:id="3" w:name="_Toc203026083"/>
      <w:r w:rsidRPr="000A0437">
        <w:rPr>
          <w:rFonts w:ascii="Calibri" w:eastAsia="Times New Roman" w:hAnsi="Calibri" w:cs="Calibri"/>
          <w:b/>
          <w:bCs/>
          <w:smallCaps/>
          <w:spacing w:val="5"/>
          <w:kern w:val="0"/>
          <w:sz w:val="28"/>
          <w:szCs w:val="28"/>
          <w:u w:val="single"/>
          <w14:ligatures w14:val="none"/>
        </w:rPr>
        <w:t>oświadczenie</w:t>
      </w:r>
      <w:bookmarkEnd w:id="3"/>
      <w:r w:rsidRPr="000A0437">
        <w:rPr>
          <w:rFonts w:ascii="Calibri" w:eastAsia="Times New Roman" w:hAnsi="Calibri" w:cs="Calibri"/>
          <w:b/>
          <w:bCs/>
          <w:smallCaps/>
          <w:spacing w:val="5"/>
          <w:kern w:val="0"/>
          <w:sz w:val="28"/>
          <w:szCs w:val="28"/>
          <w:u w:val="single"/>
          <w14:ligatures w14:val="none"/>
        </w:rPr>
        <w:t xml:space="preserve"> </w:t>
      </w:r>
    </w:p>
    <w:p w14:paraId="5FC283D8" w14:textId="77777777" w:rsidR="000A0437" w:rsidRPr="000A0437" w:rsidRDefault="000A0437" w:rsidP="000A0437">
      <w:pPr>
        <w:spacing w:after="0" w:line="264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P-045/25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4448E4BD" w14:textId="77777777" w:rsidR="000A0437" w:rsidRPr="000A0437" w:rsidRDefault="000A0437" w:rsidP="000A0437">
      <w:pPr>
        <w:tabs>
          <w:tab w:val="left" w:pos="2904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lang w:eastAsia="pl-PL"/>
          <w14:ligatures w14:val="none"/>
        </w:rPr>
      </w:pPr>
    </w:p>
    <w:p w14:paraId="3B7BF662" w14:textId="77777777" w:rsidR="000A0437" w:rsidRPr="000A0437" w:rsidRDefault="000A0437" w:rsidP="000A0437">
      <w:pPr>
        <w:tabs>
          <w:tab w:val="left" w:pos="2904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A7F1A2" w14:textId="77777777" w:rsidR="000A0437" w:rsidRPr="000A0437" w:rsidRDefault="000A0437" w:rsidP="000A0437">
      <w:pPr>
        <w:tabs>
          <w:tab w:val="left" w:pos="2904"/>
        </w:tabs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EED9A22" w14:textId="77777777" w:rsidR="000A0437" w:rsidRPr="000A0437" w:rsidRDefault="000A0437" w:rsidP="000A0437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Nazwa Wykonawcy.....................................................................................................................</w:t>
      </w:r>
    </w:p>
    <w:p w14:paraId="0C3EF2BB" w14:textId="77777777" w:rsidR="000A0437" w:rsidRPr="000A0437" w:rsidRDefault="000A0437" w:rsidP="000A0437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65F2A462" w14:textId="77777777" w:rsidR="000A0437" w:rsidRPr="000A0437" w:rsidRDefault="000A0437" w:rsidP="000A0437">
      <w:pPr>
        <w:autoSpaceDE w:val="0"/>
        <w:autoSpaceDN w:val="0"/>
        <w:adjustRightInd w:val="0"/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                          (w przypadku Wykonawców wyst</w:t>
      </w:r>
      <w:r w:rsidRPr="000A0437">
        <w:rPr>
          <w:rFonts w:ascii="Calibri" w:eastAsia="TimesNew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ę</w:t>
      </w: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puj</w:t>
      </w:r>
      <w:r w:rsidRPr="000A0437">
        <w:rPr>
          <w:rFonts w:ascii="Calibri" w:eastAsia="TimesNew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ą</w:t>
      </w: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cych wspólnie nale</w:t>
      </w:r>
      <w:r w:rsidRPr="000A0437">
        <w:rPr>
          <w:rFonts w:ascii="Calibri" w:eastAsia="TimesNew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ż</w:t>
      </w: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y wymieni</w:t>
      </w:r>
      <w:r w:rsidRPr="000A0437">
        <w:rPr>
          <w:rFonts w:ascii="Calibri" w:eastAsia="TimesNew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ć </w:t>
      </w: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wszystkich Wykonawców)</w:t>
      </w:r>
    </w:p>
    <w:p w14:paraId="28992323" w14:textId="77777777" w:rsidR="000A0437" w:rsidRPr="000A0437" w:rsidRDefault="000A0437" w:rsidP="000A0437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5E5BFE6" w14:textId="77777777" w:rsidR="000A0437" w:rsidRPr="000A0437" w:rsidRDefault="000A0437" w:rsidP="000A0437">
      <w:pPr>
        <w:spacing w:after="0" w:line="276" w:lineRule="auto"/>
        <w:jc w:val="both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Składając ofertę w postępowaniu o udzielenie zamówienia na </w:t>
      </w:r>
      <w:r w:rsidRPr="000A0437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 xml:space="preserve">„Zakup przełączników dostępowych” 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oświadczam iż Wykonawca:</w:t>
      </w:r>
    </w:p>
    <w:p w14:paraId="29FF874A" w14:textId="77777777" w:rsidR="000A0437" w:rsidRPr="000A0437" w:rsidRDefault="000A0437" w:rsidP="000A0437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posiada uprawnienia do wykonywania określonej działalności lub czynności, jeżeli ustawy nakładają obowiązek posiadania takich uprawnień,</w:t>
      </w:r>
    </w:p>
    <w:p w14:paraId="4AF5E638" w14:textId="77777777" w:rsidR="000A0437" w:rsidRPr="000A0437" w:rsidRDefault="000A0437" w:rsidP="000A0437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posiada niezbędną wiedzę i doświadczenie oraz dysponuje potencjałem technicznym 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br/>
        <w:t>i osobami zdolnymi do wykonania zamówienia,</w:t>
      </w:r>
    </w:p>
    <w:p w14:paraId="568DBEFF" w14:textId="77777777" w:rsidR="000A0437" w:rsidRPr="000A0437" w:rsidRDefault="000A0437" w:rsidP="000A0437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znajduje się w sytuacji ekonomicznej i finansowej zapewniającej wykonanie zamówienia.</w:t>
      </w:r>
    </w:p>
    <w:p w14:paraId="16E50F83" w14:textId="77777777" w:rsidR="000A0437" w:rsidRPr="000A0437" w:rsidRDefault="000A0437" w:rsidP="000A0437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nie podlega wykluczeniu z postępowania na podstawie przesłanek zawartych 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w Rozdziale XV SIWZ </w:t>
      </w:r>
    </w:p>
    <w:p w14:paraId="6C90C404" w14:textId="77777777" w:rsidR="000A0437" w:rsidRPr="000A0437" w:rsidRDefault="000A0437" w:rsidP="000A0437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- w zakresie wymaganym przez Zamawiającego</w:t>
      </w:r>
    </w:p>
    <w:p w14:paraId="08BCCCD6" w14:textId="77777777" w:rsidR="000A0437" w:rsidRPr="000A0437" w:rsidRDefault="000A0437" w:rsidP="000A0437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0AD920" w14:textId="77777777" w:rsidR="000A0437" w:rsidRPr="000A0437" w:rsidRDefault="000A0437" w:rsidP="000A0437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13880FC" w14:textId="77777777" w:rsidR="000A0437" w:rsidRPr="000A0437" w:rsidRDefault="000A0437" w:rsidP="000A0437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FB90DA7" w14:textId="77777777" w:rsidR="000A0437" w:rsidRPr="000A0437" w:rsidRDefault="000A0437" w:rsidP="000A043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.........................................., dn. .....................</w:t>
      </w:r>
      <w:r w:rsidRPr="000A043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 </w:t>
      </w:r>
    </w:p>
    <w:p w14:paraId="394D8BCC" w14:textId="77777777" w:rsidR="000A0437" w:rsidRPr="000A0437" w:rsidRDefault="000A0437" w:rsidP="000A0437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8"/>
          <w:szCs w:val="18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</w:t>
      </w:r>
      <w:r w:rsidRPr="000A0437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mi</w:t>
      </w:r>
      <w:r w:rsidRPr="000A0437">
        <w:rPr>
          <w:rFonts w:ascii="Calibri" w:eastAsia="Times New Roman" w:hAnsi="Calibri" w:cs="Calibri"/>
          <w:i/>
          <w:iCs/>
          <w:kern w:val="0"/>
          <w:sz w:val="18"/>
          <w:szCs w:val="18"/>
          <w:lang w:eastAsia="pl-PL"/>
          <w14:ligatures w14:val="none"/>
        </w:rPr>
        <w:t>ejscowość                                            data</w:t>
      </w:r>
    </w:p>
    <w:p w14:paraId="6EF8D990" w14:textId="77777777" w:rsidR="000A0437" w:rsidRPr="000A0437" w:rsidRDefault="000A0437" w:rsidP="000A0437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</w:p>
    <w:p w14:paraId="5BBF5BF4" w14:textId="77777777" w:rsidR="000A0437" w:rsidRPr="000A0437" w:rsidRDefault="000A0437" w:rsidP="000A0437">
      <w:pPr>
        <w:autoSpaceDE w:val="0"/>
        <w:autoSpaceDN w:val="0"/>
        <w:adjustRightInd w:val="0"/>
        <w:spacing w:after="0" w:line="240" w:lineRule="auto"/>
        <w:ind w:left="4254" w:firstLine="702"/>
        <w:rPr>
          <w:rFonts w:ascii="Calibri" w:eastAsia="CenturyGothic,Italic" w:hAnsi="Calibri" w:cs="Calibri"/>
          <w:i/>
          <w:iCs/>
          <w:kern w:val="0"/>
          <w:sz w:val="18"/>
          <w:szCs w:val="18"/>
          <w:lang w:eastAsia="pl-PL"/>
          <w14:ligatures w14:val="none"/>
        </w:rPr>
      </w:pPr>
      <w:r w:rsidRPr="000A0437"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0A0437"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Pr="000A0437">
        <w:rPr>
          <w:rFonts w:ascii="Calibri" w:eastAsia="CenturyGothic,Italic" w:hAnsi="Calibri" w:cs="Calibri"/>
          <w:i/>
          <w:iCs/>
          <w:kern w:val="0"/>
          <w:sz w:val="18"/>
          <w:szCs w:val="18"/>
          <w:lang w:eastAsia="pl-PL"/>
          <w14:ligatures w14:val="none"/>
        </w:rPr>
        <w:t>podpis Wykonawcy</w:t>
      </w:r>
    </w:p>
    <w:p w14:paraId="5737762F" w14:textId="77777777" w:rsidR="000A0437" w:rsidRPr="000A0437" w:rsidRDefault="000A0437" w:rsidP="000A0437">
      <w:pPr>
        <w:spacing w:after="0" w:line="240" w:lineRule="exact"/>
        <w:jc w:val="right"/>
        <w:rPr>
          <w:rFonts w:ascii="Arial" w:eastAsia="Times New Roman" w:hAnsi="Arial" w:cs="Arial"/>
          <w:i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05BDBB0D" w14:textId="77777777" w:rsidR="000A0437" w:rsidRPr="000A0437" w:rsidRDefault="000A0437" w:rsidP="000A0437">
      <w:pPr>
        <w:spacing w:after="0" w:line="240" w:lineRule="exact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5ABD8A42" w14:textId="77777777" w:rsidR="000A0437" w:rsidRPr="000A0437" w:rsidRDefault="000A0437" w:rsidP="000A0437">
      <w:pPr>
        <w:spacing w:after="0" w:line="240" w:lineRule="exact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346DEA15" w14:textId="77777777" w:rsidR="000A0437" w:rsidRPr="000A0437" w:rsidRDefault="000A0437" w:rsidP="000A0437">
      <w:pPr>
        <w:spacing w:beforeAutospacing="1" w:after="0" w:afterAutospacing="1" w:line="276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Arial"/>
          <w:kern w:val="0"/>
          <w:u w:val="single"/>
          <w:lang w:eastAsia="pl-PL"/>
          <w14:ligatures w14:val="none"/>
        </w:rPr>
        <w:t>Zamawiający wykluczy z postępowania:</w:t>
      </w:r>
    </w:p>
    <w:p w14:paraId="77B9F4E0" w14:textId="77777777" w:rsidR="000A0437" w:rsidRPr="000A0437" w:rsidRDefault="000A0437" w:rsidP="000A0437">
      <w:pPr>
        <w:numPr>
          <w:ilvl w:val="0"/>
          <w:numId w:val="3"/>
        </w:numPr>
        <w:spacing w:before="120" w:after="0" w:line="276" w:lineRule="auto"/>
        <w:ind w:left="426" w:hanging="284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4" w:name="_Toc202957014"/>
      <w:bookmarkStart w:id="5" w:name="_Toc203026084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Zamawiający wykluczy z postępowania wykonawcę:</w:t>
      </w:r>
      <w:bookmarkEnd w:id="4"/>
      <w:bookmarkEnd w:id="5"/>
    </w:p>
    <w:p w14:paraId="33F43FFE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 w:hanging="28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6" w:name="_Toc202957015"/>
      <w:bookmarkStart w:id="7" w:name="_Toc203026085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który nie wykazał spełniania warunków udziału w postępowaniu lub nie został zaproszony do negocjacji lub złożenia ofert wstępnych albo ofert, lub nie wykazał braku podstaw wykluczenia;</w:t>
      </w:r>
      <w:bookmarkEnd w:id="6"/>
      <w:bookmarkEnd w:id="7"/>
    </w:p>
    <w:p w14:paraId="3C47CE9D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 w:hanging="28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8" w:name="_Toc202957016"/>
      <w:bookmarkStart w:id="9" w:name="_Toc203026086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będącego osobą fizyczną, którego prawomocnie skazano za przestępstwo:</w:t>
      </w:r>
      <w:bookmarkEnd w:id="8"/>
      <w:bookmarkEnd w:id="9"/>
    </w:p>
    <w:p w14:paraId="29CE209F" w14:textId="77777777" w:rsidR="000A0437" w:rsidRPr="000A0437" w:rsidRDefault="000A0437" w:rsidP="000A0437">
      <w:pPr>
        <w:numPr>
          <w:ilvl w:val="0"/>
          <w:numId w:val="6"/>
        </w:numPr>
        <w:spacing w:after="0" w:line="276" w:lineRule="auto"/>
        <w:ind w:left="99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10" w:name="_Toc202957017"/>
      <w:bookmarkStart w:id="11" w:name="_Toc203026087"/>
      <w:bookmarkStart w:id="12" w:name="_Hlk158106307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udziału w zorganizowanej grupie przestępczej albo związku mającym na celu popełnienie przestępstwa lub przestępstwa skarbowego, o którym mowa w art. 258 Kodeksu karnego,</w:t>
      </w:r>
      <w:bookmarkEnd w:id="10"/>
      <w:bookmarkEnd w:id="11"/>
    </w:p>
    <w:p w14:paraId="63C64774" w14:textId="77777777" w:rsidR="000A0437" w:rsidRPr="000A0437" w:rsidRDefault="000A0437" w:rsidP="000A0437">
      <w:pPr>
        <w:numPr>
          <w:ilvl w:val="0"/>
          <w:numId w:val="6"/>
        </w:numPr>
        <w:spacing w:after="0" w:line="276" w:lineRule="auto"/>
        <w:ind w:left="99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13" w:name="_Toc202957018"/>
      <w:bookmarkStart w:id="14" w:name="_Toc203026088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handlu ludźmi, o którym mowa w art. 189a Kodeksu karnego,</w:t>
      </w:r>
      <w:bookmarkEnd w:id="13"/>
      <w:bookmarkEnd w:id="14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48B02939" w14:textId="77777777" w:rsidR="000A0437" w:rsidRPr="000A0437" w:rsidRDefault="000A0437" w:rsidP="000A0437">
      <w:pPr>
        <w:numPr>
          <w:ilvl w:val="0"/>
          <w:numId w:val="6"/>
        </w:numPr>
        <w:spacing w:before="120" w:after="120" w:line="276" w:lineRule="auto"/>
        <w:ind w:left="99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15" w:name="_Toc202957019"/>
      <w:bookmarkStart w:id="16" w:name="_Toc203026089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o którym mowa w art. 228-230a, art. 250a Kodeksu karnego lub w art. 46 lub art. 48 ustawy z dnia 25 czerwca 2010 r. o sporcie,</w:t>
      </w:r>
      <w:bookmarkEnd w:id="15"/>
      <w:bookmarkEnd w:id="16"/>
    </w:p>
    <w:p w14:paraId="292A41C1" w14:textId="77777777" w:rsidR="000A0437" w:rsidRPr="000A0437" w:rsidRDefault="000A0437" w:rsidP="000A0437">
      <w:pPr>
        <w:numPr>
          <w:ilvl w:val="0"/>
          <w:numId w:val="6"/>
        </w:numPr>
        <w:spacing w:after="0" w:line="276" w:lineRule="auto"/>
        <w:ind w:left="99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17" w:name="_Toc202957020"/>
      <w:bookmarkStart w:id="18" w:name="_Toc203026090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7"/>
      <w:bookmarkEnd w:id="18"/>
    </w:p>
    <w:p w14:paraId="55295EFB" w14:textId="77777777" w:rsidR="000A0437" w:rsidRPr="000A0437" w:rsidRDefault="000A0437" w:rsidP="000A0437">
      <w:pPr>
        <w:numPr>
          <w:ilvl w:val="0"/>
          <w:numId w:val="6"/>
        </w:numPr>
        <w:spacing w:after="0" w:line="276" w:lineRule="auto"/>
        <w:ind w:left="99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19" w:name="_Toc202957021"/>
      <w:bookmarkStart w:id="20" w:name="_Toc203026091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o charakterze terrorystycznym, o którym mowa w art. 115 § 20 Kodeksu karnego, lub mające na celu popełnienie tego przestępstwa,</w:t>
      </w:r>
      <w:bookmarkEnd w:id="19"/>
      <w:bookmarkEnd w:id="20"/>
    </w:p>
    <w:p w14:paraId="2F2DA32B" w14:textId="77777777" w:rsidR="000A0437" w:rsidRPr="000A0437" w:rsidRDefault="000A0437" w:rsidP="000A0437">
      <w:pPr>
        <w:numPr>
          <w:ilvl w:val="0"/>
          <w:numId w:val="6"/>
        </w:numPr>
        <w:spacing w:after="0" w:line="276" w:lineRule="auto"/>
        <w:ind w:left="99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21" w:name="_Toc202957022"/>
      <w:bookmarkStart w:id="22" w:name="_Toc203026092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  <w:bookmarkEnd w:id="21"/>
      <w:bookmarkEnd w:id="22"/>
    </w:p>
    <w:p w14:paraId="04D97640" w14:textId="77777777" w:rsidR="000A0437" w:rsidRPr="000A0437" w:rsidRDefault="000A0437" w:rsidP="000A0437">
      <w:pPr>
        <w:numPr>
          <w:ilvl w:val="0"/>
          <w:numId w:val="6"/>
        </w:numPr>
        <w:spacing w:after="0" w:line="276" w:lineRule="auto"/>
        <w:ind w:left="99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23" w:name="_Toc202957023"/>
      <w:bookmarkStart w:id="24" w:name="_Toc203026093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  <w:bookmarkEnd w:id="23"/>
      <w:bookmarkEnd w:id="24"/>
    </w:p>
    <w:p w14:paraId="259A2F9F" w14:textId="77777777" w:rsidR="000A0437" w:rsidRPr="000A0437" w:rsidRDefault="000A0437" w:rsidP="000A0437">
      <w:pPr>
        <w:numPr>
          <w:ilvl w:val="0"/>
          <w:numId w:val="6"/>
        </w:numPr>
        <w:spacing w:before="120" w:after="120" w:line="276" w:lineRule="auto"/>
        <w:ind w:left="99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25" w:name="_Toc202957024"/>
      <w:bookmarkStart w:id="26" w:name="_Toc203026094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o którym mowa w art. 9 ust. 1 i 3 lub art. 10 ustawy z dnia 15 czerwca 2012 r. o skutkach powierzania wykonywania pracy cudzoziemcom przebywającym wbrew przepisom na terytorium Rzeczypospolitej Polskiej</w:t>
      </w:r>
      <w:bookmarkEnd w:id="25"/>
      <w:bookmarkEnd w:id="26"/>
    </w:p>
    <w:p w14:paraId="2721AD59" w14:textId="77777777" w:rsidR="000A0437" w:rsidRPr="000A0437" w:rsidRDefault="000A0437" w:rsidP="000A0437">
      <w:pPr>
        <w:spacing w:before="120" w:after="120" w:line="276" w:lineRule="auto"/>
        <w:ind w:left="63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27" w:name="_Toc202957025"/>
      <w:bookmarkStart w:id="28" w:name="_Toc203026095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- lub za odpowiedni czyn zabroniony określony w przepisach prawa obcego;</w:t>
      </w:r>
      <w:bookmarkEnd w:id="27"/>
      <w:bookmarkEnd w:id="28"/>
    </w:p>
    <w:p w14:paraId="5203E6DA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 w:hanging="28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29" w:name="_Toc202957026"/>
      <w:bookmarkStart w:id="30" w:name="_Toc203026096"/>
      <w:bookmarkEnd w:id="12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ppkt 2;</w:t>
      </w:r>
      <w:bookmarkEnd w:id="29"/>
      <w:bookmarkEnd w:id="30"/>
    </w:p>
    <w:p w14:paraId="7ABC29E2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 w:hanging="28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bookmarkStart w:id="31" w:name="_Toc202957027"/>
      <w:bookmarkStart w:id="32" w:name="_Toc203026097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31"/>
      <w:bookmarkEnd w:id="32"/>
    </w:p>
    <w:p w14:paraId="1F9FCA80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 w:hanging="28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33" w:name="_Toc202957028"/>
      <w:bookmarkStart w:id="34" w:name="_Toc203026098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wobec którego prawomocnie orzeczono zakaz ubiegania się o zamówienia publiczne;</w:t>
      </w:r>
      <w:bookmarkEnd w:id="33"/>
      <w:bookmarkEnd w:id="34"/>
    </w:p>
    <w:p w14:paraId="50284CAB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 w:hanging="283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35" w:name="_Toc202957029"/>
      <w:bookmarkStart w:id="36" w:name="_Toc203026099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35"/>
      <w:bookmarkEnd w:id="36"/>
    </w:p>
    <w:p w14:paraId="3512107E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37" w:name="_Toc202957030"/>
      <w:bookmarkStart w:id="38" w:name="_Toc203026100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  <w:bookmarkEnd w:id="37"/>
      <w:bookmarkEnd w:id="38"/>
    </w:p>
    <w:p w14:paraId="110F797C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39" w:name="_Toc202957031"/>
      <w:bookmarkStart w:id="40" w:name="_Toc203026101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gospodarcza jest 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zawieszona albo znajduje się on w innej tego rodzaju sytuacji wynikającej z podobnej procedury przewidzianej w przepisach miejsca tej procedury,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  <w:bookmarkEnd w:id="39"/>
      <w:bookmarkEnd w:id="40"/>
    </w:p>
    <w:p w14:paraId="19B43702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41" w:name="_Toc202957032"/>
      <w:bookmarkStart w:id="42" w:name="_Toc203026102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który, z przyczyn leżących po jego stronie, w znacznym stopniu lub zakresie nie wykonał lub nienależycie wykonał albo długotrwale nienależycie wykonywał istotne zobowiązanie wynikające z wcześniejszej umowy w sprawie zamówienia, co doprowadziło do wypowiedzenia lub odstąpienia od umowy, odszkodowania, wykonania zastępczego lub realizacji uprawnień z tytułu rękojmi za wady;</w:t>
      </w:r>
      <w:bookmarkEnd w:id="41"/>
      <w:bookmarkEnd w:id="42"/>
    </w:p>
    <w:p w14:paraId="31AEFA9B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43" w:name="_Toc202957033"/>
      <w:bookmarkStart w:id="44" w:name="_Toc203026103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bookmarkEnd w:id="43"/>
      <w:bookmarkEnd w:id="44"/>
    </w:p>
    <w:p w14:paraId="20D0CC99" w14:textId="77777777" w:rsidR="000A0437" w:rsidRPr="000A0437" w:rsidRDefault="000A0437" w:rsidP="000A0437">
      <w:pPr>
        <w:numPr>
          <w:ilvl w:val="0"/>
          <w:numId w:val="5"/>
        </w:num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45" w:name="_Toc202957034"/>
      <w:bookmarkStart w:id="46" w:name="_Toc203026104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który bezprawnie wpływał lub próbował wpływać na czynności zamawiającego lub próbował pozyskać lub pozyskał informacje poufne, mogące dać mu przewagę w postępowaniu o udzielenie zamówienia;</w:t>
      </w:r>
      <w:bookmarkEnd w:id="45"/>
      <w:bookmarkEnd w:id="46"/>
    </w:p>
    <w:p w14:paraId="0545DD95" w14:textId="77777777" w:rsidR="000A0437" w:rsidRPr="000A0437" w:rsidRDefault="000A0437" w:rsidP="000A0437">
      <w:pPr>
        <w:numPr>
          <w:ilvl w:val="0"/>
          <w:numId w:val="5"/>
        </w:numPr>
        <w:spacing w:after="120" w:line="276" w:lineRule="auto"/>
        <w:ind w:left="709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47" w:name="_Toc202957035"/>
      <w:bookmarkStart w:id="48" w:name="_Toc203026105"/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który w wyniku lekkomyślności lub niedbalstwa przedstawił informacje wprowadzające w błąd, co mogło mieć istotny wpływ na decyzje podejmowane przez zamawiającego w postępowaniu o udzielenie zamówienia</w:t>
      </w:r>
      <w:bookmarkEnd w:id="47"/>
      <w:bookmarkEnd w:id="48"/>
    </w:p>
    <w:p w14:paraId="645241FE" w14:textId="5A62E909" w:rsidR="000A0437" w:rsidRPr="000A0437" w:rsidRDefault="000A0437" w:rsidP="000A0437">
      <w:pPr>
        <w:spacing w:after="0" w:line="240" w:lineRule="exact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Ofert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wykonawcy wykluczonego uznaje się za odrzuconą.</w:t>
      </w:r>
    </w:p>
    <w:p w14:paraId="42BA9533" w14:textId="77777777" w:rsidR="000A0437" w:rsidRPr="000A0437" w:rsidRDefault="000A0437" w:rsidP="000A0437">
      <w:pPr>
        <w:spacing w:after="0" w:line="240" w:lineRule="exact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</w:p>
    <w:p w14:paraId="64EA0F50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60E3AB8C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3B84CDB2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105F8524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3D63A804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09851E41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68C1E95F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3CD2D6D4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2D3C90C9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01552131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6C723D47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730F9751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2FEF46B9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7D924FEC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36537DE7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15F0B841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5FD6A90A" w14:textId="77777777" w:rsid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p w14:paraId="43E29F6A" w14:textId="77777777" w:rsidR="000A0437" w:rsidRPr="000A0437" w:rsidRDefault="000A0437" w:rsidP="000A0437">
      <w:pPr>
        <w:keepNext/>
        <w:shd w:val="clear" w:color="auto" w:fill="F2F2F2"/>
        <w:spacing w:before="240" w:after="240" w:line="276" w:lineRule="auto"/>
        <w:jc w:val="right"/>
        <w:outlineLvl w:val="2"/>
        <w:rPr>
          <w:rFonts w:ascii="Calibri" w:eastAsia="Times New Roman" w:hAnsi="Calibri" w:cs="Calibri"/>
          <w:b/>
          <w:bCs/>
          <w:smallCaps/>
          <w:spacing w:val="5"/>
          <w:kern w:val="0"/>
          <w:sz w:val="26"/>
          <w:szCs w:val="26"/>
          <w:u w:val="single"/>
          <w14:ligatures w14:val="none"/>
        </w:rPr>
      </w:pPr>
      <w:bookmarkStart w:id="49" w:name="_Toc203026106"/>
      <w:r w:rsidRPr="000A0437">
        <w:rPr>
          <w:rFonts w:ascii="Calibri" w:eastAsia="Times New Roman" w:hAnsi="Calibri" w:cs="Calibri"/>
          <w:b/>
          <w:bCs/>
          <w:smallCaps/>
          <w:spacing w:val="5"/>
          <w:kern w:val="0"/>
          <w:sz w:val="26"/>
          <w:szCs w:val="26"/>
          <w:u w:val="single"/>
          <w14:ligatures w14:val="none"/>
        </w:rPr>
        <w:lastRenderedPageBreak/>
        <w:t>Załącznik nr 4 do SIWZ</w:t>
      </w:r>
      <w:bookmarkEnd w:id="49"/>
    </w:p>
    <w:p w14:paraId="680A78E7" w14:textId="77777777" w:rsidR="000A0437" w:rsidRPr="000A0437" w:rsidRDefault="000A0437" w:rsidP="000A0437">
      <w:pPr>
        <w:keepNext/>
        <w:shd w:val="clear" w:color="auto" w:fill="F2F2F2"/>
        <w:spacing w:before="240" w:after="240" w:line="276" w:lineRule="auto"/>
        <w:jc w:val="center"/>
        <w:outlineLvl w:val="2"/>
        <w:rPr>
          <w:rFonts w:ascii="Calibri" w:eastAsia="Times New Roman" w:hAnsi="Calibri" w:cs="Calibri"/>
          <w:b/>
          <w:bCs/>
          <w:smallCaps/>
          <w:spacing w:val="5"/>
          <w:kern w:val="0"/>
          <w:sz w:val="36"/>
          <w:szCs w:val="36"/>
          <w:u w:val="single"/>
          <w14:ligatures w14:val="none"/>
        </w:rPr>
      </w:pPr>
      <w:bookmarkStart w:id="50" w:name="_Toc203026107"/>
      <w:r w:rsidRPr="000A0437">
        <w:rPr>
          <w:rFonts w:ascii="Calibri" w:eastAsia="Times New Roman" w:hAnsi="Calibri" w:cs="Calibri"/>
          <w:b/>
          <w:bCs/>
          <w:smallCaps/>
          <w:spacing w:val="5"/>
          <w:kern w:val="0"/>
          <w:sz w:val="28"/>
          <w:szCs w:val="28"/>
          <w:u w:val="single"/>
          <w14:ligatures w14:val="none"/>
        </w:rPr>
        <w:t>wykaz wykonanych dostaw</w:t>
      </w:r>
      <w:bookmarkEnd w:id="50"/>
      <w:r w:rsidRPr="000A0437">
        <w:rPr>
          <w:rFonts w:ascii="Calibri" w:eastAsia="Times New Roman" w:hAnsi="Calibri" w:cs="Calibri"/>
          <w:b/>
          <w:bCs/>
          <w:smallCaps/>
          <w:spacing w:val="5"/>
          <w:kern w:val="0"/>
          <w:sz w:val="28"/>
          <w:szCs w:val="28"/>
          <w:u w:val="single"/>
          <w14:ligatures w14:val="none"/>
        </w:rPr>
        <w:t xml:space="preserve"> </w:t>
      </w:r>
    </w:p>
    <w:p w14:paraId="74CD161F" w14:textId="77777777" w:rsidR="000A0437" w:rsidRPr="000A0437" w:rsidRDefault="000A0437" w:rsidP="000A0437">
      <w:pPr>
        <w:spacing w:after="0" w:line="264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P- 045/25</w:t>
      </w:r>
    </w:p>
    <w:p w14:paraId="7AD6AC27" w14:textId="77777777" w:rsidR="000A0437" w:rsidRPr="000A0437" w:rsidRDefault="000A0437" w:rsidP="000A0437">
      <w:pPr>
        <w:spacing w:after="0" w:line="264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8974EFA" w14:textId="77777777" w:rsidR="000A0437" w:rsidRPr="000A0437" w:rsidRDefault="000A0437" w:rsidP="000A0437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Nazwa Wykonawcy....................................................................................................................................</w:t>
      </w:r>
    </w:p>
    <w:p w14:paraId="7FBD9B91" w14:textId="77777777" w:rsidR="000A0437" w:rsidRPr="000A0437" w:rsidRDefault="000A0437" w:rsidP="000A0437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28060635" w14:textId="77777777" w:rsidR="000A0437" w:rsidRPr="000A0437" w:rsidRDefault="000A0437" w:rsidP="000A0437">
      <w:pPr>
        <w:autoSpaceDE w:val="0"/>
        <w:autoSpaceDN w:val="0"/>
        <w:adjustRightInd w:val="0"/>
        <w:spacing w:after="0" w:line="264" w:lineRule="auto"/>
        <w:jc w:val="center"/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(w przypadku Wykonawców wyst</w:t>
      </w:r>
      <w:r w:rsidRPr="000A0437">
        <w:rPr>
          <w:rFonts w:ascii="Calibri" w:eastAsia="TimesNew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ę</w:t>
      </w: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puj</w:t>
      </w:r>
      <w:r w:rsidRPr="000A0437">
        <w:rPr>
          <w:rFonts w:ascii="Calibri" w:eastAsia="TimesNew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ą</w:t>
      </w: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cych wspólnie nale</w:t>
      </w:r>
      <w:r w:rsidRPr="000A0437">
        <w:rPr>
          <w:rFonts w:ascii="Calibri" w:eastAsia="TimesNew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ż</w:t>
      </w: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y wymieni</w:t>
      </w:r>
      <w:r w:rsidRPr="000A0437">
        <w:rPr>
          <w:rFonts w:ascii="Calibri" w:eastAsia="TimesNew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ć </w:t>
      </w:r>
      <w:r w:rsidRPr="000A0437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wszystkich Wykonawców)</w:t>
      </w:r>
    </w:p>
    <w:p w14:paraId="0A28F4E7" w14:textId="77777777" w:rsidR="000A0437" w:rsidRPr="000A0437" w:rsidRDefault="000A0437" w:rsidP="000A0437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047E6A2" w14:textId="77777777" w:rsidR="000A0437" w:rsidRPr="000A0437" w:rsidRDefault="000A0437" w:rsidP="000A0437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Składając ofertę w postępowaniu o udzielenie zamówienia prowadzonego w trybie przetargu nieograniczonego na </w:t>
      </w:r>
      <w:r w:rsidRPr="000A0437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 xml:space="preserve">„Zakup przełączników dostępowych” </w:t>
      </w:r>
      <w:r w:rsidRPr="000A0437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oświadczam</w:t>
      </w: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że zrealizowałem/liśmy następujące zamówienia w zakresie niezbędnym do wykazania spełniania warunku wiedzy i doświadczenia </w:t>
      </w:r>
      <w:r w:rsidRPr="000A0437">
        <w:rPr>
          <w:rFonts w:ascii="Calibri" w:eastAsia="Times New Roman" w:hAnsi="Calibri" w:cs="Calibri"/>
          <w:kern w:val="0"/>
          <w:lang w:val="cs-CZ" w:eastAsia="pl-PL"/>
          <w14:ligatures w14:val="none"/>
        </w:rPr>
        <w:t>określonym</w:t>
      </w:r>
      <w:r w:rsidRPr="000A0437">
        <w:rPr>
          <w:rFonts w:ascii="Calibri" w:eastAsia="Times New Roman" w:hAnsi="Calibri" w:cs="Calibri"/>
          <w:b/>
          <w:i/>
          <w:kern w:val="0"/>
          <w:lang w:val="cs-CZ" w:eastAsia="pl-PL"/>
          <w14:ligatures w14:val="none"/>
        </w:rPr>
        <w:t xml:space="preserve"> </w:t>
      </w:r>
      <w:r w:rsidRPr="000A0437">
        <w:rPr>
          <w:rFonts w:ascii="Calibri" w:eastAsia="Times New Roman" w:hAnsi="Calibri" w:cs="Calibri"/>
          <w:b/>
          <w:kern w:val="0"/>
          <w:lang w:val="cs-CZ" w:eastAsia="pl-PL"/>
          <w14:ligatures w14:val="none"/>
        </w:rPr>
        <w:t>w Rozdz. VI ust 2. pkt. 2.2 SIWZ.</w:t>
      </w:r>
    </w:p>
    <w:p w14:paraId="4167AED7" w14:textId="77777777" w:rsidR="000A0437" w:rsidRPr="000A0437" w:rsidRDefault="000A0437" w:rsidP="000A0437">
      <w:pPr>
        <w:spacing w:after="0" w:line="240" w:lineRule="exact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532"/>
        <w:gridCol w:w="3058"/>
        <w:gridCol w:w="1549"/>
        <w:gridCol w:w="1688"/>
        <w:gridCol w:w="2235"/>
      </w:tblGrid>
      <w:tr w:rsidR="000A0437" w:rsidRPr="000A0437" w14:paraId="110447B7" w14:textId="77777777" w:rsidTr="00966EFA">
        <w:trPr>
          <w:trHeight w:val="705"/>
        </w:trPr>
        <w:tc>
          <w:tcPr>
            <w:tcW w:w="533" w:type="dxa"/>
            <w:vMerge w:val="restart"/>
          </w:tcPr>
          <w:p w14:paraId="41AB4DB7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>Lp.</w:t>
            </w:r>
          </w:p>
        </w:tc>
        <w:tc>
          <w:tcPr>
            <w:tcW w:w="3058" w:type="dxa"/>
            <w:vMerge w:val="restart"/>
            <w:vAlign w:val="center"/>
          </w:tcPr>
          <w:p w14:paraId="63D136A0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>Przedmiot zamówienia</w:t>
            </w:r>
          </w:p>
          <w:p w14:paraId="6C298D76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>(rodzaj, zakres, wartość)</w:t>
            </w:r>
          </w:p>
        </w:tc>
        <w:tc>
          <w:tcPr>
            <w:tcW w:w="3237" w:type="dxa"/>
            <w:gridSpan w:val="2"/>
            <w:vAlign w:val="center"/>
          </w:tcPr>
          <w:p w14:paraId="1124D2F1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>Termin realizacji zamówienia</w:t>
            </w:r>
          </w:p>
        </w:tc>
        <w:tc>
          <w:tcPr>
            <w:tcW w:w="2235" w:type="dxa"/>
            <w:vMerge w:val="restart"/>
            <w:vAlign w:val="center"/>
          </w:tcPr>
          <w:p w14:paraId="4CBD30C1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 xml:space="preserve">Nazwa podmiotu, na rzecz którego była wykonana dostawa </w:t>
            </w:r>
          </w:p>
        </w:tc>
      </w:tr>
      <w:tr w:rsidR="000A0437" w:rsidRPr="000A0437" w14:paraId="01435F97" w14:textId="77777777" w:rsidTr="00966EFA">
        <w:trPr>
          <w:trHeight w:val="645"/>
        </w:trPr>
        <w:tc>
          <w:tcPr>
            <w:tcW w:w="533" w:type="dxa"/>
            <w:vMerge/>
          </w:tcPr>
          <w:p w14:paraId="6C3FE4A9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Times New Roman" w:cs="Calibri"/>
                <w:i/>
              </w:rPr>
            </w:pPr>
          </w:p>
        </w:tc>
        <w:tc>
          <w:tcPr>
            <w:tcW w:w="3058" w:type="dxa"/>
            <w:vMerge/>
            <w:vAlign w:val="center"/>
          </w:tcPr>
          <w:p w14:paraId="6A341589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</w:p>
        </w:tc>
        <w:tc>
          <w:tcPr>
            <w:tcW w:w="1549" w:type="dxa"/>
            <w:vAlign w:val="center"/>
          </w:tcPr>
          <w:p w14:paraId="6B2B2992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>data rozpoczęcia</w:t>
            </w:r>
          </w:p>
        </w:tc>
        <w:tc>
          <w:tcPr>
            <w:tcW w:w="1688" w:type="dxa"/>
            <w:vAlign w:val="center"/>
          </w:tcPr>
          <w:p w14:paraId="71E6A917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>data</w:t>
            </w:r>
          </w:p>
          <w:p w14:paraId="38F1DCA7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>zakończenia</w:t>
            </w:r>
          </w:p>
        </w:tc>
        <w:tc>
          <w:tcPr>
            <w:tcW w:w="2235" w:type="dxa"/>
            <w:vMerge/>
            <w:vAlign w:val="center"/>
          </w:tcPr>
          <w:p w14:paraId="31AAD1E7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</w:p>
        </w:tc>
      </w:tr>
      <w:tr w:rsidR="000A0437" w:rsidRPr="000A0437" w14:paraId="42DD009A" w14:textId="77777777" w:rsidTr="00966EFA">
        <w:trPr>
          <w:trHeight w:val="1482"/>
        </w:trPr>
        <w:tc>
          <w:tcPr>
            <w:tcW w:w="533" w:type="dxa"/>
          </w:tcPr>
          <w:p w14:paraId="10B6E113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>1.</w:t>
            </w:r>
          </w:p>
        </w:tc>
        <w:tc>
          <w:tcPr>
            <w:tcW w:w="3058" w:type="dxa"/>
            <w:vAlign w:val="center"/>
          </w:tcPr>
          <w:p w14:paraId="52E558BD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</w:p>
        </w:tc>
        <w:tc>
          <w:tcPr>
            <w:tcW w:w="1549" w:type="dxa"/>
            <w:vAlign w:val="center"/>
          </w:tcPr>
          <w:p w14:paraId="438A30E6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</w:p>
        </w:tc>
        <w:tc>
          <w:tcPr>
            <w:tcW w:w="1688" w:type="dxa"/>
            <w:vAlign w:val="center"/>
          </w:tcPr>
          <w:p w14:paraId="2782CECF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</w:p>
        </w:tc>
        <w:tc>
          <w:tcPr>
            <w:tcW w:w="2235" w:type="dxa"/>
            <w:vAlign w:val="center"/>
          </w:tcPr>
          <w:p w14:paraId="60449A36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Times New Roman" w:cs="Calibri"/>
                <w:i/>
              </w:rPr>
            </w:pPr>
          </w:p>
        </w:tc>
      </w:tr>
      <w:tr w:rsidR="000A0437" w:rsidRPr="000A0437" w14:paraId="08CBB4A6" w14:textId="77777777" w:rsidTr="00966EFA">
        <w:trPr>
          <w:trHeight w:val="1546"/>
        </w:trPr>
        <w:tc>
          <w:tcPr>
            <w:tcW w:w="533" w:type="dxa"/>
          </w:tcPr>
          <w:p w14:paraId="336CFEDE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Times New Roman" w:cs="Calibri"/>
                <w:i/>
              </w:rPr>
            </w:pPr>
            <w:r w:rsidRPr="000A0437">
              <w:rPr>
                <w:rFonts w:eastAsia="Times New Roman" w:cs="Calibri"/>
                <w:i/>
              </w:rPr>
              <w:t>2.</w:t>
            </w:r>
          </w:p>
        </w:tc>
        <w:tc>
          <w:tcPr>
            <w:tcW w:w="3058" w:type="dxa"/>
          </w:tcPr>
          <w:p w14:paraId="777A6C34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Times New Roman" w:cs="Calibri"/>
                <w:i/>
              </w:rPr>
            </w:pPr>
          </w:p>
        </w:tc>
        <w:tc>
          <w:tcPr>
            <w:tcW w:w="1549" w:type="dxa"/>
          </w:tcPr>
          <w:p w14:paraId="2E95F3C3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Times New Roman" w:cs="Calibri"/>
                <w:i/>
              </w:rPr>
            </w:pPr>
          </w:p>
        </w:tc>
        <w:tc>
          <w:tcPr>
            <w:tcW w:w="1688" w:type="dxa"/>
          </w:tcPr>
          <w:p w14:paraId="49B556D5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Times New Roman" w:cs="Calibri"/>
                <w:i/>
              </w:rPr>
            </w:pPr>
          </w:p>
        </w:tc>
        <w:tc>
          <w:tcPr>
            <w:tcW w:w="2235" w:type="dxa"/>
          </w:tcPr>
          <w:p w14:paraId="4CD0FECC" w14:textId="77777777" w:rsidR="000A0437" w:rsidRPr="000A0437" w:rsidRDefault="000A0437" w:rsidP="000A043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Times New Roman" w:cs="Calibri"/>
                <w:i/>
              </w:rPr>
            </w:pPr>
          </w:p>
        </w:tc>
      </w:tr>
    </w:tbl>
    <w:p w14:paraId="09DE044C" w14:textId="77777777" w:rsidR="000A0437" w:rsidRPr="000A0437" w:rsidRDefault="000A0437" w:rsidP="000A0437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 xml:space="preserve">Do wykazu należy załączyć dokumenty potwierdzające, że wskazane powyżej usługi zostały wykonana należycie. </w:t>
      </w:r>
    </w:p>
    <w:p w14:paraId="25578FBC" w14:textId="77777777" w:rsidR="000A0437" w:rsidRPr="000A0437" w:rsidRDefault="000A0437" w:rsidP="000A043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2B31D4A6" w14:textId="77777777" w:rsidR="000A0437" w:rsidRPr="000A0437" w:rsidRDefault="000A0437" w:rsidP="000A043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1B7A45F" w14:textId="77777777" w:rsidR="000A0437" w:rsidRPr="000A0437" w:rsidRDefault="000A0437" w:rsidP="000A043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D298F99" w14:textId="77777777" w:rsidR="000A0437" w:rsidRPr="000A0437" w:rsidRDefault="000A0437" w:rsidP="000A043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.........................................., dn. .....................</w:t>
      </w:r>
      <w:r w:rsidRPr="000A043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 </w:t>
      </w:r>
    </w:p>
    <w:p w14:paraId="6E76DE89" w14:textId="77777777" w:rsidR="000A0437" w:rsidRPr="000A0437" w:rsidRDefault="000A0437" w:rsidP="000A0437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8"/>
          <w:szCs w:val="18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                     </w:t>
      </w:r>
      <w:r w:rsidRPr="000A0437">
        <w:rPr>
          <w:rFonts w:ascii="Calibri" w:eastAsia="Times New Roman" w:hAnsi="Calibri" w:cs="Calibri"/>
          <w:i/>
          <w:iCs/>
          <w:kern w:val="0"/>
          <w:sz w:val="18"/>
          <w:szCs w:val="18"/>
          <w:lang w:eastAsia="pl-PL"/>
          <w14:ligatures w14:val="none"/>
        </w:rPr>
        <w:t>miejscowość                                         data</w:t>
      </w:r>
    </w:p>
    <w:p w14:paraId="614414A5" w14:textId="77777777" w:rsidR="000A0437" w:rsidRPr="000A0437" w:rsidRDefault="000A0437" w:rsidP="000A0437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043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</w:p>
    <w:p w14:paraId="0BD8E6EB" w14:textId="77777777" w:rsidR="000A0437" w:rsidRPr="000A0437" w:rsidRDefault="000A0437" w:rsidP="000A0437">
      <w:pPr>
        <w:autoSpaceDE w:val="0"/>
        <w:autoSpaceDN w:val="0"/>
        <w:adjustRightInd w:val="0"/>
        <w:spacing w:after="0" w:line="240" w:lineRule="auto"/>
        <w:ind w:left="4254" w:firstLine="702"/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 w:rsidRPr="000A0437"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0A0437"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  <w:t xml:space="preserve">        </w:t>
      </w:r>
      <w:r w:rsidRPr="000A0437">
        <w:rPr>
          <w:rFonts w:ascii="Calibri" w:eastAsia="CenturyGothic,Italic" w:hAnsi="Calibri" w:cs="Calibri"/>
          <w:i/>
          <w:iCs/>
          <w:kern w:val="0"/>
          <w:sz w:val="18"/>
          <w:szCs w:val="18"/>
          <w:lang w:eastAsia="pl-PL"/>
          <w14:ligatures w14:val="none"/>
        </w:rPr>
        <w:t>podpis Wykonawcy</w:t>
      </w:r>
    </w:p>
    <w:p w14:paraId="1B1F8B35" w14:textId="77777777" w:rsidR="000A0437" w:rsidRPr="000A0437" w:rsidRDefault="000A0437" w:rsidP="000A0437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14:paraId="242C2ED2" w14:textId="77777777" w:rsidR="000A0437" w:rsidRPr="000A0437" w:rsidRDefault="000A0437" w:rsidP="000A0437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14:paraId="4E0CFB77" w14:textId="77777777" w:rsidR="000A0437" w:rsidRPr="000A0437" w:rsidRDefault="000A0437" w:rsidP="000A0437">
      <w:pPr>
        <w:spacing w:after="0" w:line="240" w:lineRule="exact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317E184" w14:textId="77777777" w:rsidR="000A0437" w:rsidRPr="000A0437" w:rsidRDefault="000A0437" w:rsidP="000A0437">
      <w:pPr>
        <w:spacing w:after="0" w:line="240" w:lineRule="exact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6786479" w14:textId="476A47A7" w:rsidR="000A0437" w:rsidRPr="000A0437" w:rsidRDefault="000A0437" w:rsidP="000A0437">
      <w:pPr>
        <w:autoSpaceDE w:val="0"/>
        <w:autoSpaceDN w:val="0"/>
        <w:adjustRightInd w:val="0"/>
        <w:ind w:left="4254" w:firstLine="702"/>
        <w:rPr>
          <w:rFonts w:eastAsia="CenturyGothic,Italic" w:cstheme="minorHAnsi"/>
          <w:i/>
          <w:iCs/>
          <w:sz w:val="18"/>
          <w:szCs w:val="18"/>
        </w:rPr>
      </w:pPr>
    </w:p>
    <w:sectPr w:rsidR="000A0437" w:rsidRPr="000A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Gothic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A99"/>
    <w:multiLevelType w:val="hybridMultilevel"/>
    <w:tmpl w:val="E3F25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049E"/>
    <w:multiLevelType w:val="hybridMultilevel"/>
    <w:tmpl w:val="AFBE7814"/>
    <w:lvl w:ilvl="0" w:tplc="E48EC4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6A07B6"/>
    <w:multiLevelType w:val="hybridMultilevel"/>
    <w:tmpl w:val="9864E090"/>
    <w:lvl w:ilvl="0" w:tplc="95627E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22CCB"/>
    <w:multiLevelType w:val="hybridMultilevel"/>
    <w:tmpl w:val="3142139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FE3722"/>
    <w:multiLevelType w:val="hybridMultilevel"/>
    <w:tmpl w:val="71AC39CC"/>
    <w:lvl w:ilvl="0" w:tplc="5364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A85B92">
      <w:start w:val="1"/>
      <w:numFmt w:val="decimal"/>
      <w:lvlText w:val="%2)"/>
      <w:lvlJc w:val="left"/>
      <w:pPr>
        <w:ind w:left="2345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951F8"/>
    <w:multiLevelType w:val="hybridMultilevel"/>
    <w:tmpl w:val="71146A90"/>
    <w:lvl w:ilvl="0" w:tplc="9E7C75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6968994">
    <w:abstractNumId w:val="0"/>
  </w:num>
  <w:num w:numId="2" w16cid:durableId="1715930843">
    <w:abstractNumId w:val="2"/>
  </w:num>
  <w:num w:numId="3" w16cid:durableId="2073578099">
    <w:abstractNumId w:val="4"/>
  </w:num>
  <w:num w:numId="4" w16cid:durableId="816382016">
    <w:abstractNumId w:val="5"/>
  </w:num>
  <w:num w:numId="5" w16cid:durableId="1191070338">
    <w:abstractNumId w:val="1"/>
  </w:num>
  <w:num w:numId="6" w16cid:durableId="104472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37"/>
    <w:rsid w:val="00025E24"/>
    <w:rsid w:val="000A0437"/>
    <w:rsid w:val="003900E0"/>
    <w:rsid w:val="006C7DCF"/>
    <w:rsid w:val="00D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34C"/>
  <w15:chartTrackingRefBased/>
  <w15:docId w15:val="{07992313-9A76-448E-B1EE-FAB35BD4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0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A0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0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0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0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0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0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A0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04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04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4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04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04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04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0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0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0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04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04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04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0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04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043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A04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3428</Words>
  <Characters>20574</Characters>
  <Application>Microsoft Office Word</Application>
  <DocSecurity>0</DocSecurity>
  <Lines>171</Lines>
  <Paragraphs>47</Paragraphs>
  <ScaleCrop>false</ScaleCrop>
  <Company/>
  <LinksUpToDate>false</LinksUpToDate>
  <CharactersWithSpaces>23955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Kaczmarczyk</dc:creator>
  <cp:keywords/>
  <dc:description/>
  <cp:lastModifiedBy>Karolina Kaczmarczyk</cp:lastModifiedBy>
  <cp:revision>2</cp:revision>
  <dcterms:created xsi:type="dcterms:W3CDTF">2025-10-16T06:15:00Z</dcterms:created>
  <dcterms:modified xsi:type="dcterms:W3CDTF">2025-10-16T06:23:00Z</dcterms:modified>
</cp:coreProperties>
</file>